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7E8CCD2D" w14:textId="0C2D0099" w:rsidR="006C077A" w:rsidRPr="00BB05AC" w:rsidRDefault="00152D3F" w:rsidP="009151F0">
      <w:pPr>
        <w:pBdr>
          <w:bottom w:val="single" w:sz="4" w:space="1" w:color="auto"/>
        </w:pBdr>
        <w:spacing w:line="276" w:lineRule="auto"/>
        <w:jc w:val="both"/>
        <w:rPr>
          <w:i/>
          <w:iCs/>
          <w:color w:val="000000"/>
        </w:rPr>
      </w:pPr>
      <w:r w:rsidRPr="00152D3F">
        <w:rPr>
          <w:b/>
          <w:bCs/>
          <w:color w:val="000000"/>
          <w:sz w:val="40"/>
          <w:szCs w:val="40"/>
        </w:rPr>
        <w:t>Production and Consumption Dynamics of Strategic Horticultural Commodities in Indonesia: Evidence from Horticulture Statistics 2024</w:t>
      </w:r>
    </w:p>
    <w:p w14:paraId="7F82A290" w14:textId="3FA11A37" w:rsidR="00BB05AC" w:rsidRPr="00152D3F" w:rsidRDefault="00152D3F" w:rsidP="00D05D71">
      <w:pPr>
        <w:widowControl/>
        <w:tabs>
          <w:tab w:val="left" w:pos="7490"/>
        </w:tabs>
        <w:spacing w:after="0" w:line="276" w:lineRule="auto"/>
        <w:ind w:left="311" w:hanging="198"/>
        <w:rPr>
          <w:b/>
          <w:color w:val="000000"/>
          <w:szCs w:val="20"/>
          <w:vertAlign w:val="superscript"/>
        </w:rPr>
      </w:pPr>
      <w:r w:rsidRPr="00152D3F">
        <w:rPr>
          <w:b/>
          <w:color w:val="000000"/>
          <w:szCs w:val="20"/>
        </w:rPr>
        <w:t>Satya Apriliansyah</w:t>
      </w:r>
      <w:r w:rsidR="00FD63C8">
        <w:rPr>
          <w:b/>
          <w:color w:val="000000"/>
          <w:szCs w:val="20"/>
          <w:vertAlign w:val="superscript"/>
        </w:rPr>
        <w:t>1*</w:t>
      </w:r>
      <w:r w:rsidR="00FD63C8">
        <w:rPr>
          <w:b/>
          <w:color w:val="000000"/>
          <w:szCs w:val="20"/>
        </w:rPr>
        <w:t xml:space="preserve">, </w:t>
      </w:r>
      <w:r w:rsidRPr="00152D3F">
        <w:rPr>
          <w:b/>
          <w:color w:val="000000"/>
          <w:szCs w:val="20"/>
        </w:rPr>
        <w:t>Karina Indah Risyana</w:t>
      </w:r>
      <w:r w:rsidR="00FD63C8" w:rsidRPr="00FD63C8">
        <w:rPr>
          <w:b/>
          <w:color w:val="000000"/>
          <w:szCs w:val="20"/>
          <w:vertAlign w:val="superscript"/>
        </w:rPr>
        <w:t>2</w:t>
      </w:r>
      <w:r>
        <w:rPr>
          <w:b/>
          <w:color w:val="000000"/>
          <w:szCs w:val="20"/>
        </w:rPr>
        <w:t xml:space="preserve">, </w:t>
      </w:r>
      <w:r w:rsidRPr="00152D3F">
        <w:rPr>
          <w:b/>
          <w:color w:val="000000"/>
          <w:szCs w:val="20"/>
        </w:rPr>
        <w:t>Artanindia Lailatul Amalia</w:t>
      </w:r>
      <w:r>
        <w:rPr>
          <w:b/>
          <w:color w:val="000000"/>
          <w:szCs w:val="20"/>
          <w:vertAlign w:val="superscript"/>
        </w:rPr>
        <w:t>3</w:t>
      </w:r>
    </w:p>
    <w:p w14:paraId="51A366A6" w14:textId="77777777" w:rsidR="00BB05AC" w:rsidRDefault="00BB05AC" w:rsidP="00D05D71">
      <w:pPr>
        <w:widowControl/>
        <w:tabs>
          <w:tab w:val="left" w:pos="7490"/>
        </w:tabs>
        <w:spacing w:after="0" w:line="276" w:lineRule="auto"/>
        <w:ind w:left="311" w:hanging="198"/>
        <w:rPr>
          <w:color w:val="000000"/>
          <w:szCs w:val="20"/>
        </w:rPr>
      </w:pPr>
    </w:p>
    <w:p w14:paraId="6C3F5C87" w14:textId="1682F302" w:rsidR="00FD63C8" w:rsidRPr="00FD63C8" w:rsidRDefault="00951B78" w:rsidP="00FD63C8">
      <w:pPr>
        <w:widowControl/>
        <w:tabs>
          <w:tab w:val="left" w:pos="7490"/>
        </w:tabs>
        <w:spacing w:after="0" w:line="240" w:lineRule="auto"/>
        <w:ind w:left="311" w:hanging="198"/>
        <w:rPr>
          <w:color w:val="000000"/>
          <w:szCs w:val="20"/>
        </w:rPr>
      </w:pPr>
      <w:r>
        <w:rPr>
          <w:color w:val="000000"/>
          <w:szCs w:val="20"/>
          <w:vertAlign w:val="superscript"/>
        </w:rPr>
        <w:t>1,2</w:t>
      </w:r>
      <w:r w:rsidR="00152D3F">
        <w:rPr>
          <w:color w:val="000000"/>
          <w:szCs w:val="20"/>
          <w:vertAlign w:val="superscript"/>
        </w:rPr>
        <w:t>,3</w:t>
      </w:r>
      <w:r w:rsidR="00FD63C8" w:rsidRPr="00FD63C8">
        <w:rPr>
          <w:color w:val="000000"/>
          <w:szCs w:val="20"/>
        </w:rPr>
        <w:t>Global Scholarly Research Institute, Indonesia</w:t>
      </w:r>
    </w:p>
    <w:p w14:paraId="73DA72C4" w14:textId="53287821" w:rsidR="00BB05AC" w:rsidRDefault="00B676A2" w:rsidP="009A3401">
      <w:pPr>
        <w:widowControl/>
        <w:tabs>
          <w:tab w:val="left" w:pos="7490"/>
        </w:tabs>
        <w:spacing w:after="0" w:line="276" w:lineRule="auto"/>
        <w:ind w:left="311" w:hanging="198"/>
        <w:rPr>
          <w:color w:val="000000"/>
          <w:szCs w:val="20"/>
        </w:rPr>
      </w:pPr>
      <w:r>
        <w:rPr>
          <w:color w:val="000000"/>
          <w:szCs w:val="20"/>
        </w:rPr>
        <w:t xml:space="preserve">*Correspondence author: </w:t>
      </w:r>
      <w:hyperlink r:id="rId9" w:history="1">
        <w:r w:rsidR="00152D3F" w:rsidRPr="00755450">
          <w:rPr>
            <w:rStyle w:val="Hyperlink"/>
          </w:rPr>
          <w:t>satyaapriliansyah13@gmail.com</w:t>
        </w:r>
      </w:hyperlink>
      <w:r w:rsidR="00152D3F">
        <w:t xml:space="preserve"> </w:t>
      </w:r>
      <w:r w:rsidR="00FD63C8">
        <w:rPr>
          <w:color w:val="000000"/>
          <w:szCs w:val="20"/>
        </w:rPr>
        <w:t xml:space="preserve"> </w:t>
      </w:r>
    </w:p>
    <w:p w14:paraId="1E71C8BC" w14:textId="77777777" w:rsidR="00BB05AC" w:rsidRDefault="00BB05AC" w:rsidP="00D05D71">
      <w:pPr>
        <w:widowControl/>
        <w:tabs>
          <w:tab w:val="left" w:pos="7490"/>
        </w:tabs>
        <w:spacing w:after="0" w:line="276" w:lineRule="auto"/>
        <w:ind w:left="311" w:hanging="198"/>
        <w:rPr>
          <w:color w:val="000000"/>
          <w:szCs w:val="20"/>
        </w:rPr>
      </w:pPr>
      <w:r>
        <w:rPr>
          <w:color w:val="000000"/>
          <w:szCs w:val="20"/>
        </w:rPr>
        <w:tab/>
      </w:r>
      <w:r>
        <w:rPr>
          <w:color w:val="000000"/>
          <w:szCs w:val="20"/>
        </w:rPr>
        <w:tab/>
      </w:r>
    </w:p>
    <w:p w14:paraId="0E2E8DC5" w14:textId="77777777" w:rsidR="00BB05AC" w:rsidRDefault="00BB05AC" w:rsidP="00D05D71">
      <w:pPr>
        <w:spacing w:after="0" w:line="276" w:lineRule="auto"/>
        <w:ind w:left="113" w:hanging="23"/>
        <w:jc w:val="both"/>
        <w:rPr>
          <w:b/>
          <w:sz w:val="20"/>
          <w:szCs w:val="20"/>
        </w:rPr>
      </w:pPr>
      <w:r>
        <w:rPr>
          <w:b/>
          <w:sz w:val="20"/>
          <w:szCs w:val="20"/>
        </w:rPr>
        <w:t>Abstract</w:t>
      </w:r>
    </w:p>
    <w:p w14:paraId="4B33C311" w14:textId="77777777" w:rsidR="00FD63C8" w:rsidRDefault="00FD63C8" w:rsidP="00D05D71">
      <w:pPr>
        <w:spacing w:after="0" w:line="276" w:lineRule="auto"/>
        <w:ind w:left="113" w:hanging="23"/>
        <w:jc w:val="both"/>
        <w:rPr>
          <w:b/>
          <w:sz w:val="20"/>
          <w:szCs w:val="20"/>
        </w:rPr>
      </w:pPr>
    </w:p>
    <w:p w14:paraId="2B017E42" w14:textId="57E77BC4" w:rsidR="00BB05AC" w:rsidRPr="009C7FF5" w:rsidRDefault="00152D3F" w:rsidP="00FD63C8">
      <w:pPr>
        <w:tabs>
          <w:tab w:val="left" w:pos="6720"/>
        </w:tabs>
        <w:spacing w:after="0" w:line="276" w:lineRule="auto"/>
        <w:ind w:left="113" w:hanging="23"/>
        <w:jc w:val="both"/>
        <w:rPr>
          <w:sz w:val="20"/>
          <w:szCs w:val="20"/>
        </w:rPr>
      </w:pPr>
      <w:r w:rsidRPr="00152D3F">
        <w:rPr>
          <w:sz w:val="20"/>
          <w:szCs w:val="20"/>
          <w:lang w:val="en-US"/>
        </w:rPr>
        <w:t>Strategic horticultural commodities play an important role in food availability, household consumption, inflation control, and agricultural economic development in Indonesia. This study aims to analyze the production and household consumption dynami</w:t>
      </w:r>
      <w:bookmarkStart w:id="0" w:name="_GoBack"/>
      <w:bookmarkEnd w:id="0"/>
      <w:r w:rsidRPr="00152D3F">
        <w:rPr>
          <w:sz w:val="20"/>
          <w:szCs w:val="20"/>
          <w:lang w:val="en-US"/>
        </w:rPr>
        <w:t xml:space="preserve">cs of selected strategic horticultural commodities in Indonesia using official data from </w:t>
      </w:r>
      <w:r w:rsidRPr="00152D3F">
        <w:rPr>
          <w:i/>
          <w:iCs/>
          <w:sz w:val="20"/>
          <w:szCs w:val="20"/>
          <w:lang w:val="en-US"/>
        </w:rPr>
        <w:t>Statistics of Horticulture 2024</w:t>
      </w:r>
      <w:r w:rsidRPr="00152D3F">
        <w:rPr>
          <w:sz w:val="20"/>
          <w:szCs w:val="20"/>
          <w:lang w:val="en-US"/>
        </w:rPr>
        <w:t xml:space="preserve"> published by BPS-Statistics Indonesia. The study employed a descriptive quantitative approach based on secondary data analysis. The commodities analyzed include shallot, garlic, big chili, cayenne pepper, potato, tomato, carrot, banana, durian, orange, and mango. The results show that banana had the highest production in 2024, reaching 9.26 million tons, followed by mango at 3.30 million tons and orange at 2.58 million tons. Among seasonal vegetables, shallot production reached 2.09 million tons, while garlic production was only 39.44 thousand tons. The comparison between production and household consumption indicates that most commodities recorded production levels higher than household consumption, except garlic, which showed a large production-consumption gap. These findings suggest that Indonesia’s horticultural system has strong production capacity for several commodities but still faces structural challenges in garlic self-sufficiency and consumption balance. The study highlights the need for productivity improvement, commodity diversification, and import-reduction strategies to strengthen horticultural resilience</w:t>
      </w:r>
      <w:r w:rsidR="009C7FF5" w:rsidRPr="009C7FF5">
        <w:rPr>
          <w:sz w:val="20"/>
          <w:szCs w:val="20"/>
        </w:rPr>
        <w:t>.</w:t>
      </w:r>
      <w:r w:rsidR="00BB05AC" w:rsidRPr="009C7FF5">
        <w:rPr>
          <w:sz w:val="20"/>
          <w:szCs w:val="20"/>
        </w:rPr>
        <w:tab/>
      </w:r>
    </w:p>
    <w:tbl>
      <w:tblPr>
        <w:tblStyle w:val="TableGrid"/>
        <w:tblW w:w="8818"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8"/>
      </w:tblGrid>
      <w:tr w:rsidR="00BB05AC" w14:paraId="2F33A2B1" w14:textId="77777777" w:rsidTr="00BB05AC">
        <w:tc>
          <w:tcPr>
            <w:tcW w:w="8818" w:type="dxa"/>
            <w:tcBorders>
              <w:top w:val="nil"/>
              <w:left w:val="nil"/>
              <w:bottom w:val="nil"/>
              <w:right w:val="thinThickSmallGap" w:sz="24" w:space="0" w:color="17365D" w:themeColor="text2" w:themeShade="BF"/>
            </w:tcBorders>
            <w:hideMark/>
          </w:tcPr>
          <w:p w14:paraId="73556C96" w14:textId="17B62A3F" w:rsidR="00BB05AC" w:rsidRPr="003225CA" w:rsidRDefault="00BB05AC" w:rsidP="00BF338E">
            <w:pPr>
              <w:spacing w:line="276" w:lineRule="auto"/>
              <w:jc w:val="both"/>
              <w:rPr>
                <w:color w:val="000000"/>
                <w:sz w:val="20"/>
              </w:rPr>
            </w:pPr>
          </w:p>
        </w:tc>
      </w:tr>
    </w:tbl>
    <w:p w14:paraId="58ADF7D3" w14:textId="77777777" w:rsidR="00BB05AC" w:rsidRDefault="00BB05AC" w:rsidP="00EE1FBF">
      <w:pPr>
        <w:spacing w:after="0" w:line="276" w:lineRule="auto"/>
        <w:jc w:val="both"/>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4"/>
      </w:tblGrid>
      <w:tr w:rsidR="00BB05AC" w14:paraId="4347DB8E" w14:textId="77777777" w:rsidTr="00BB05AC">
        <w:tc>
          <w:tcPr>
            <w:tcW w:w="8834" w:type="dxa"/>
            <w:tcBorders>
              <w:top w:val="nil"/>
              <w:left w:val="nil"/>
              <w:bottom w:val="thinThickSmallGap" w:sz="24" w:space="0" w:color="17365D" w:themeColor="text2" w:themeShade="BF"/>
              <w:right w:val="nil"/>
            </w:tcBorders>
          </w:tcPr>
          <w:p w14:paraId="6D93343C" w14:textId="7ABC0166" w:rsidR="00BB05AC" w:rsidRPr="00BB05AC" w:rsidRDefault="00BB05AC" w:rsidP="00BF338E">
            <w:pPr>
              <w:spacing w:line="276" w:lineRule="auto"/>
              <w:rPr>
                <w:i/>
                <w:iCs/>
                <w:color w:val="000000"/>
              </w:rPr>
            </w:pPr>
            <w:r>
              <w:rPr>
                <w:b/>
                <w:sz w:val="20"/>
                <w:szCs w:val="20"/>
              </w:rPr>
              <w:t xml:space="preserve">Keywords: </w:t>
            </w:r>
            <w:r w:rsidR="00152D3F" w:rsidRPr="00152D3F">
              <w:rPr>
                <w:sz w:val="20"/>
                <w:szCs w:val="20"/>
              </w:rPr>
              <w:t>Horticulture, Production, Consumption, Strategic Commodities, Food Security, Indonesia</w:t>
            </w:r>
          </w:p>
        </w:tc>
      </w:tr>
    </w:tbl>
    <w:p w14:paraId="588CE00A" w14:textId="1BCB773B" w:rsidR="006C077A" w:rsidRPr="00EB43C4" w:rsidRDefault="006C077A" w:rsidP="00EB43C4">
      <w:pPr>
        <w:pStyle w:val="ListParagraph"/>
        <w:numPr>
          <w:ilvl w:val="0"/>
          <w:numId w:val="8"/>
        </w:numPr>
        <w:spacing w:before="240" w:line="276" w:lineRule="auto"/>
        <w:rPr>
          <w:b/>
          <w:bCs/>
          <w:color w:val="000000"/>
        </w:rPr>
      </w:pPr>
      <w:r w:rsidRPr="00EB43C4">
        <w:rPr>
          <w:b/>
          <w:bCs/>
          <w:color w:val="000000"/>
        </w:rPr>
        <w:t>Introduction</w:t>
      </w:r>
    </w:p>
    <w:p w14:paraId="0191CA1B" w14:textId="77777777" w:rsidR="00152D3F" w:rsidRPr="00152D3F" w:rsidRDefault="00152D3F" w:rsidP="00152D3F">
      <w:pPr>
        <w:spacing w:after="0" w:line="276" w:lineRule="auto"/>
        <w:ind w:firstLine="567"/>
        <w:jc w:val="both"/>
        <w:rPr>
          <w:color w:val="000000"/>
          <w:lang w:val="zh-CN"/>
        </w:rPr>
      </w:pPr>
      <w:r w:rsidRPr="00152D3F">
        <w:rPr>
          <w:color w:val="000000"/>
          <w:lang w:val="zh-CN"/>
        </w:rPr>
        <w:t xml:space="preserve">Horticultural commodities are important components of Indonesia’s agricultural system because they contribute significantly to food availability, nutritional security, farmer income, and rural economic development [3], [5], [6]. Unlike staple food crops, horticultural commodities have diverse functions, ranging from household food consumption to agroindustry, processing industries, export-oriented agriculture, and the provision of raw materials for the food sector [5], [6], [9]. The horticultural subsector consists of vegetables, fruits, medicinal plants, and ornamental plants, each of which plays a unique role in supporting agricultural diversification and increasing the value of agricultural products [6], [9], [20]. In addition to their economic contribution, horticultural commodities provide essential vitamins, minerals, dietary fiber, and bioactive </w:t>
      </w:r>
      <w:r w:rsidRPr="00152D3F">
        <w:rPr>
          <w:color w:val="000000"/>
          <w:lang w:val="zh-CN"/>
        </w:rPr>
        <w:lastRenderedPageBreak/>
        <w:t>compounds that support public health and improve dietary quality [5], [10], [20]. Therefore, understanding the dynamics of horticultural production and consumption is essential for evaluating the performance of Indonesia’s agricultural sector and formulating policies that promote sustainable food systems [3], [5], [17].</w:t>
      </w:r>
    </w:p>
    <w:p w14:paraId="51032BA0" w14:textId="77777777" w:rsidR="00152D3F" w:rsidRPr="00152D3F" w:rsidRDefault="00152D3F" w:rsidP="00152D3F">
      <w:pPr>
        <w:spacing w:after="0" w:line="276" w:lineRule="auto"/>
        <w:ind w:firstLine="567"/>
        <w:jc w:val="both"/>
        <w:rPr>
          <w:color w:val="000000"/>
          <w:lang w:val="zh-CN"/>
        </w:rPr>
      </w:pPr>
      <w:r w:rsidRPr="00152D3F">
        <w:rPr>
          <w:color w:val="000000"/>
          <w:lang w:val="zh-CN"/>
        </w:rPr>
        <w:t>In Indonesia, several horticultural commodities are classified as strategic because of their substantial contribution to production, household consumption, market demand, trade activities, and food price stability [3], [4], [17]. Commodities such as shallot, garlic, chili, potato, tomato, carrot, banana, durian, orange, and mango are widely cultivated across different agroecological regions and are consumed daily by Indonesian households [1], [3]. These commodities also generate significant economic value through domestic trade, food processing industries, and export markets, making them important sources of income for farmers and agribusiness enterprises [6], [9], [11]. Among these commodities, shallot and chili receive particular policy attention because fluctuations in their production and supply frequently influence food inflation and national consumer price indices [15], [16]. Consequently, maintaining stable production and market availability of these strategic horticultural commodities has become an important objective of Indonesia’s agricultural development policy [3], [4], [17].</w:t>
      </w:r>
    </w:p>
    <w:p w14:paraId="01AD6D5A" w14:textId="77777777" w:rsidR="00152D3F" w:rsidRPr="00152D3F" w:rsidRDefault="00152D3F" w:rsidP="00152D3F">
      <w:pPr>
        <w:spacing w:after="0" w:line="276" w:lineRule="auto"/>
        <w:ind w:firstLine="567"/>
        <w:jc w:val="both"/>
        <w:rPr>
          <w:color w:val="000000"/>
          <w:spacing w:val="-2"/>
          <w:lang w:val="zh-CN"/>
        </w:rPr>
      </w:pPr>
      <w:r w:rsidRPr="00152D3F">
        <w:rPr>
          <w:color w:val="000000"/>
          <w:spacing w:val="-2"/>
          <w:lang w:val="zh-CN"/>
        </w:rPr>
        <w:t>The availability of comprehensive production and household consumption statistics provides valuable information for assessing the balance between domestic supply and demand [1], [2]. Comparing production with consumption enables researchers and policymakers to identify commodities that experience production surpluses, production deficits, or structural dependence on imports [10], [19]. Such information is essential for evaluating the effectiveness of agricultural development programs, determining commodity priorities, and improving national food security strategies [5], [10], [17]. Furthermore, production-consumption analysis helps identify opportunities for increasing productivity, expanding cultivation areas, improving supply chain efficiency, and strengthening postharvest management systems [18], [19]. Therefore, the integration of production and consumption indicators provides a more comprehensive understanding of the current condition and future prospects of Indonesia’s horticultural sector [9], [19], [20].</w:t>
      </w:r>
    </w:p>
    <w:p w14:paraId="7548B490" w14:textId="77777777" w:rsidR="00152D3F" w:rsidRPr="00152D3F" w:rsidRDefault="00152D3F" w:rsidP="00152D3F">
      <w:pPr>
        <w:spacing w:after="0" w:line="276" w:lineRule="auto"/>
        <w:ind w:firstLine="567"/>
        <w:jc w:val="both"/>
        <w:rPr>
          <w:color w:val="000000"/>
          <w:spacing w:val="2"/>
          <w:lang w:val="zh-CN"/>
        </w:rPr>
      </w:pPr>
      <w:r w:rsidRPr="00152D3F">
        <w:rPr>
          <w:color w:val="000000"/>
          <w:spacing w:val="2"/>
          <w:lang w:val="zh-CN"/>
        </w:rPr>
        <w:t xml:space="preserve">BPS-Statistics Indonesia publishes </w:t>
      </w:r>
      <w:r w:rsidRPr="00152D3F">
        <w:rPr>
          <w:i/>
          <w:iCs/>
          <w:color w:val="000000"/>
          <w:spacing w:val="2"/>
          <w:lang w:val="zh-CN"/>
        </w:rPr>
        <w:t>Statistics of Horticulture 2024</w:t>
      </w:r>
      <w:r w:rsidRPr="00152D3F">
        <w:rPr>
          <w:color w:val="000000"/>
          <w:spacing w:val="2"/>
          <w:lang w:val="zh-CN"/>
        </w:rPr>
        <w:t>, which provides comprehensive official data on the production, harvested area, productive plants, household consumption, exports, and imports of strategic horticultural commodities throughout Indonesia [1]. These official statistics constitute an important evidence base for evaluating the performance of the national horticultural sector because they are collected through standardized statistical procedures and represent the most recent national conditions [1], [2]. Utilizing these data allows researchers to conduct objective and reliable assessments of commodity performance while minimizing bias associated with primary data collection [1], [3]. Despite the availability of these official statistics, relatively few studies have comprehensively compared production and household consumption across multiple strategic horticultural commodities at the national level [10], [19]. Therefore, further analysis using these official data is necessary to generate evidence-based recommendations for improving horticultural development and strengthening national food resilience [3], [5], [17].</w:t>
      </w:r>
    </w:p>
    <w:p w14:paraId="1A8349FA" w14:textId="171EA3DF" w:rsidR="00152D3F" w:rsidRPr="00152D3F" w:rsidRDefault="00152D3F" w:rsidP="00152D3F">
      <w:pPr>
        <w:spacing w:after="0" w:line="276" w:lineRule="auto"/>
        <w:ind w:firstLine="567"/>
        <w:jc w:val="both"/>
        <w:rPr>
          <w:color w:val="000000"/>
        </w:rPr>
      </w:pPr>
      <w:r w:rsidRPr="00152D3F">
        <w:rPr>
          <w:color w:val="000000"/>
          <w:lang w:val="en-US"/>
        </w:rPr>
        <w:t xml:space="preserve">This study aims to analyze the production and household consumption dynamics of selected strategic horticultural commodities in Indonesia using </w:t>
      </w:r>
      <w:r w:rsidRPr="00152D3F">
        <w:rPr>
          <w:i/>
          <w:iCs/>
          <w:color w:val="000000"/>
          <w:lang w:val="en-US"/>
        </w:rPr>
        <w:t>Statistics of Horticulture 2024</w:t>
      </w:r>
      <w:r w:rsidRPr="00152D3F">
        <w:rPr>
          <w:color w:val="000000"/>
          <w:lang w:val="en-US"/>
        </w:rPr>
        <w:t xml:space="preserve"> published by BPS-Statistics Indonesia [1]. Specifically, the study compares production levels, household consumption, and production-consumption gaps among major vegetable and fruit commodities in Indonesia during 2024 [1], [3]. The analysis is expected to identify commodities with production surpluses, commodities experiencing production deficits, and commodities that require greater policy attention to enhance domestic production capacity [10], [14], [19]. The findings will contribute to a better understanding of Indonesia’s horticultural production structure and its implications for food availability, commodity self-sufficiency, and agricultural sustainability [5], [9], [20]. Ultimately, this study is expected to provide evidence-based recommendations that support productivity improvement, commodity diversification, import substitution, and long-term food security policies in Indonesia [3], [4], [17].</w:t>
      </w:r>
    </w:p>
    <w:p w14:paraId="19D3E45B" w14:textId="2FC60312" w:rsidR="006D00C2" w:rsidRPr="00EB43C4" w:rsidRDefault="00EB43C4" w:rsidP="00EB43C4">
      <w:pPr>
        <w:pStyle w:val="ListParagraph"/>
        <w:numPr>
          <w:ilvl w:val="0"/>
          <w:numId w:val="8"/>
        </w:numPr>
        <w:spacing w:before="240" w:line="276" w:lineRule="auto"/>
        <w:jc w:val="both"/>
        <w:rPr>
          <w:b/>
          <w:bCs/>
          <w:color w:val="000000"/>
        </w:rPr>
      </w:pPr>
      <w:r>
        <w:rPr>
          <w:b/>
          <w:bCs/>
          <w:color w:val="000000"/>
        </w:rPr>
        <w:t>Materials and</w:t>
      </w:r>
      <w:r w:rsidR="006C077A" w:rsidRPr="00EB43C4">
        <w:rPr>
          <w:b/>
          <w:bCs/>
          <w:color w:val="000000"/>
        </w:rPr>
        <w:t xml:space="preserve"> Methods</w:t>
      </w:r>
    </w:p>
    <w:p w14:paraId="4DFCCB03" w14:textId="77777777" w:rsidR="00152D3F" w:rsidRPr="00152D3F" w:rsidRDefault="00152D3F" w:rsidP="00152D3F">
      <w:pPr>
        <w:spacing w:after="0" w:line="276" w:lineRule="auto"/>
        <w:ind w:firstLine="567"/>
        <w:jc w:val="both"/>
        <w:rPr>
          <w:color w:val="000000"/>
          <w:spacing w:val="2"/>
          <w:lang w:val="zh-CN"/>
        </w:rPr>
      </w:pPr>
      <w:r w:rsidRPr="00152D3F">
        <w:rPr>
          <w:color w:val="000000"/>
          <w:spacing w:val="2"/>
          <w:lang w:val="zh-CN"/>
        </w:rPr>
        <w:t>This study was conducted using a structured methodological framework to evaluate the production and household consumption dynamics of strategic horticultural commodities in Indonesia [1], [3]. The research employed official national statistical data to compare production performance, consumption patterns, and production-consumption balances among selected commodities [1], [2]. The methodological framework consisted of four major components, namely research design, data source, variables and units of analysis, and data analysis methods. These components were selected to ensure that the analysis was systematic, objective, and capable of providing evidence-based conclusions regarding Indonesia’s horticultural development and food security [5], [10], [17].</w:t>
      </w:r>
    </w:p>
    <w:p w14:paraId="7605131E" w14:textId="77777777" w:rsidR="00152D3F" w:rsidRPr="00152D3F" w:rsidRDefault="00152D3F" w:rsidP="00152D3F">
      <w:pPr>
        <w:spacing w:after="0" w:line="276" w:lineRule="auto"/>
        <w:ind w:firstLine="567"/>
        <w:jc w:val="both"/>
        <w:rPr>
          <w:color w:val="000000"/>
          <w:lang w:val="zh-CN"/>
        </w:rPr>
      </w:pPr>
      <w:r w:rsidRPr="00152D3F">
        <w:rPr>
          <w:color w:val="000000"/>
          <w:lang w:val="zh-CN"/>
        </w:rPr>
        <w:t>The following subsections describe the research procedures in detail. First, the research design explains the overall methodological approach adopted in the study. Second, the data source subsection describes the official statistical publication and the selected commodities used in the analysis [1]. Third, the variables and units of analysis define the indicators analyzed and their measurement units. Finally, the data analysis method explains the analytical techniques used to compare production and household consumption as well as to interpret the implications of the findings for horticultural development [10], [19].</w:t>
      </w:r>
    </w:p>
    <w:p w14:paraId="20935666" w14:textId="33372A3E" w:rsidR="00152D3F" w:rsidRPr="00152D3F" w:rsidRDefault="00152D3F" w:rsidP="00152D3F">
      <w:pPr>
        <w:spacing w:before="120" w:after="0" w:line="276" w:lineRule="auto"/>
        <w:jc w:val="both"/>
        <w:rPr>
          <w:b/>
          <w:color w:val="000000"/>
          <w:lang w:val="en-US"/>
        </w:rPr>
      </w:pPr>
      <w:r w:rsidRPr="00152D3F">
        <w:rPr>
          <w:b/>
          <w:color w:val="000000"/>
          <w:lang w:val="en-US"/>
        </w:rPr>
        <w:t>2.1 Research Design</w:t>
      </w:r>
    </w:p>
    <w:p w14:paraId="4F663A74" w14:textId="77777777" w:rsidR="00152D3F" w:rsidRPr="00152D3F" w:rsidRDefault="00152D3F" w:rsidP="00152D3F">
      <w:pPr>
        <w:spacing w:after="0" w:line="276" w:lineRule="auto"/>
        <w:ind w:firstLine="567"/>
        <w:jc w:val="both"/>
        <w:rPr>
          <w:color w:val="000000"/>
          <w:lang w:val="zh-CN"/>
        </w:rPr>
      </w:pPr>
      <w:r w:rsidRPr="00152D3F">
        <w:rPr>
          <w:color w:val="000000"/>
          <w:lang w:val="zh-CN"/>
        </w:rPr>
        <w:t>This study employed a descriptive quantitative research design based on secondary data analysis [1], [3]. The descriptive quantitative approach was selected because the objective of the study was to describe and compare the production and household consumption of strategic horticultural commodities using official national statistical data rather than conducting field experiments or surveys [1], [19]. This approach allows researchers to identify production patterns, commodity dominance, consumption behavior, and production-consumption relationships using measurable indicators [19].</w:t>
      </w:r>
    </w:p>
    <w:p w14:paraId="1FDD6536" w14:textId="77777777" w:rsidR="00152D3F" w:rsidRPr="00152D3F" w:rsidRDefault="00152D3F" w:rsidP="00152D3F">
      <w:pPr>
        <w:spacing w:after="0" w:line="276" w:lineRule="auto"/>
        <w:ind w:firstLine="567"/>
        <w:jc w:val="both"/>
        <w:rPr>
          <w:color w:val="000000"/>
          <w:lang w:val="zh-CN"/>
        </w:rPr>
      </w:pPr>
      <w:r w:rsidRPr="00152D3F">
        <w:rPr>
          <w:color w:val="000000"/>
          <w:lang w:val="zh-CN"/>
        </w:rPr>
        <w:t>Secondary data analysis was considered appropriate because the required information had already been compiled and validated by BPS-Statistics Indonesia through standardized statistical procedures [1], [2]. The use of official statistics provides nationally representative information with high reliability and consistency across commodities [1]. Consequently, the findings obtained from this study are expected to accurately represent the condition of Indonesia’s horticultural sector at the national level [3], [5].</w:t>
      </w:r>
    </w:p>
    <w:p w14:paraId="0B807FC5" w14:textId="77777777" w:rsidR="00152D3F" w:rsidRPr="00152D3F" w:rsidRDefault="00152D3F" w:rsidP="00152D3F">
      <w:pPr>
        <w:spacing w:after="0" w:line="276" w:lineRule="auto"/>
        <w:ind w:firstLine="567"/>
        <w:jc w:val="both"/>
        <w:rPr>
          <w:color w:val="000000"/>
          <w:lang w:val="zh-CN"/>
        </w:rPr>
      </w:pPr>
      <w:r w:rsidRPr="00152D3F">
        <w:rPr>
          <w:color w:val="000000"/>
          <w:lang w:val="zh-CN"/>
        </w:rPr>
        <w:t>Unlike experimental studies that investigate causal relationships, this study focuses on describing existing conditions and identifying differences among strategic commodities. The descriptive approach enables systematic comparison between vegetable and fruit commodities using identical measurement units [19]. Such comparisons provide a clearer understanding of the production structure of Indonesia's horticultural sector and support objective interpretation of commodity performance [9], [10].</w:t>
      </w:r>
    </w:p>
    <w:p w14:paraId="5BB2500D" w14:textId="77777777" w:rsidR="00152D3F" w:rsidRPr="00152D3F" w:rsidRDefault="00152D3F" w:rsidP="00152D3F">
      <w:pPr>
        <w:spacing w:after="0" w:line="276" w:lineRule="auto"/>
        <w:ind w:firstLine="567"/>
        <w:jc w:val="both"/>
        <w:rPr>
          <w:color w:val="000000"/>
          <w:lang w:val="zh-CN"/>
        </w:rPr>
      </w:pPr>
      <w:r w:rsidRPr="00152D3F">
        <w:rPr>
          <w:color w:val="000000"/>
          <w:lang w:val="zh-CN"/>
        </w:rPr>
        <w:t>The study also adopted a comparative analytical perspective by comparing production and household consumption across commodities. Through this comparison, commodities with production surpluses and production deficits can be identified objectively [10], [19]. This information is important for evaluating commodity competitiveness, identifying import dependency, and determining future agricultural development priorities [14], [17].</w:t>
      </w:r>
    </w:p>
    <w:p w14:paraId="62B5F85C" w14:textId="77777777" w:rsidR="00152D3F" w:rsidRPr="00152D3F" w:rsidRDefault="00152D3F" w:rsidP="00152D3F">
      <w:pPr>
        <w:spacing w:after="0" w:line="276" w:lineRule="auto"/>
        <w:ind w:firstLine="567"/>
        <w:jc w:val="both"/>
        <w:rPr>
          <w:color w:val="000000"/>
          <w:lang w:val="zh-CN"/>
        </w:rPr>
      </w:pPr>
      <w:r w:rsidRPr="00152D3F">
        <w:rPr>
          <w:color w:val="000000"/>
          <w:lang w:val="zh-CN"/>
        </w:rPr>
        <w:t>Overall, the selected research design provides an effective framework for examining national horticultural performance. The descriptive quantitative approach enables objective interpretation of official statistical information while supporting evidence-based recommendations for horticultural policy development and food security improvement [3], [5], [17].</w:t>
      </w:r>
    </w:p>
    <w:p w14:paraId="49F07F5F" w14:textId="6B89A71E" w:rsidR="00152D3F" w:rsidRPr="00152D3F" w:rsidRDefault="00152D3F" w:rsidP="00152D3F">
      <w:pPr>
        <w:spacing w:before="120" w:after="0" w:line="276" w:lineRule="auto"/>
        <w:jc w:val="both"/>
        <w:rPr>
          <w:b/>
          <w:color w:val="000000"/>
          <w:lang w:val="en-US"/>
        </w:rPr>
      </w:pPr>
      <w:r w:rsidRPr="00152D3F">
        <w:rPr>
          <w:b/>
          <w:color w:val="000000"/>
          <w:lang w:val="en-US"/>
        </w:rPr>
        <w:t>2.2 Data Source</w:t>
      </w:r>
    </w:p>
    <w:p w14:paraId="2A5345A4" w14:textId="77777777" w:rsidR="00152D3F" w:rsidRPr="00152D3F" w:rsidRDefault="00152D3F" w:rsidP="00152D3F">
      <w:pPr>
        <w:spacing w:after="0" w:line="276" w:lineRule="auto"/>
        <w:ind w:firstLine="567"/>
        <w:jc w:val="both"/>
        <w:rPr>
          <w:color w:val="000000"/>
          <w:lang w:val="zh-CN"/>
        </w:rPr>
      </w:pPr>
      <w:r w:rsidRPr="00152D3F">
        <w:rPr>
          <w:color w:val="000000"/>
          <w:lang w:val="zh-CN"/>
        </w:rPr>
        <w:t xml:space="preserve">The data analyzed in this study were obtained from </w:t>
      </w:r>
      <w:r w:rsidRPr="00152D3F">
        <w:rPr>
          <w:i/>
          <w:iCs/>
          <w:color w:val="000000"/>
          <w:lang w:val="zh-CN"/>
        </w:rPr>
        <w:t>Statistics of Horticulture 2024</w:t>
      </w:r>
      <w:r w:rsidRPr="00152D3F">
        <w:rPr>
          <w:color w:val="000000"/>
          <w:lang w:val="zh-CN"/>
        </w:rPr>
        <w:t xml:space="preserve"> published by BPS-Statistics Indonesia [1]. This publication serves as the official national reference for horticultural statistics and presents comprehensive information regarding the production performance of strategic horticultural commodities throughout Indonesia. The statistical data are compiled using standardized methodologies implemented by BPS and provincial statistical offices, ensuring consistency and reliability across commodities [1], [2].</w:t>
      </w:r>
    </w:p>
    <w:p w14:paraId="57A36E28" w14:textId="77777777" w:rsidR="00152D3F" w:rsidRPr="00152D3F" w:rsidRDefault="00152D3F" w:rsidP="00152D3F">
      <w:pPr>
        <w:spacing w:after="0" w:line="276" w:lineRule="auto"/>
        <w:ind w:firstLine="567"/>
        <w:jc w:val="both"/>
        <w:rPr>
          <w:color w:val="000000"/>
          <w:lang w:val="zh-CN"/>
        </w:rPr>
      </w:pPr>
      <w:r w:rsidRPr="00152D3F">
        <w:rPr>
          <w:color w:val="000000"/>
          <w:lang w:val="zh-CN"/>
        </w:rPr>
        <w:t>The publication contains information on vegetables, fruits, medicinal plants, and ornamental crops. Besides production statistics, the report also includes harvested area, productive plants, household consumption, export, and import data [1]. These indicators provide comprehensive information for evaluating the performance of Indonesia’s horticultural sector and its contribution to national agricultural development [3], [6].</w:t>
      </w:r>
    </w:p>
    <w:p w14:paraId="33C5DC9C" w14:textId="77777777" w:rsidR="00152D3F" w:rsidRPr="00152D3F" w:rsidRDefault="00152D3F" w:rsidP="00152D3F">
      <w:pPr>
        <w:spacing w:after="0" w:line="276" w:lineRule="auto"/>
        <w:ind w:firstLine="567"/>
        <w:jc w:val="both"/>
        <w:rPr>
          <w:color w:val="000000"/>
          <w:lang w:val="zh-CN"/>
        </w:rPr>
      </w:pPr>
      <w:r w:rsidRPr="00152D3F">
        <w:rPr>
          <w:color w:val="000000"/>
          <w:lang w:val="zh-CN"/>
        </w:rPr>
        <w:t>The present study specifically selected commodities for which both production and household consumption data were available. Eleven strategic commodities were included in the analysis, namely shallot, garlic, big chili, cayenne pepper, potato, tomato, carrot, banana, durian, orange, and mango [1]. These commodities were selected because they represent major horticultural products consumed by Indonesian households and contribute significantly to agricultural production, domestic markets, and food security [3], [17].</w:t>
      </w:r>
    </w:p>
    <w:p w14:paraId="48AD0B9D" w14:textId="77777777" w:rsidR="00152D3F" w:rsidRPr="00152D3F" w:rsidRDefault="00152D3F" w:rsidP="00152D3F">
      <w:pPr>
        <w:spacing w:after="0" w:line="276" w:lineRule="auto"/>
        <w:ind w:firstLine="567"/>
        <w:jc w:val="both"/>
        <w:rPr>
          <w:color w:val="000000"/>
          <w:lang w:val="zh-CN"/>
        </w:rPr>
      </w:pPr>
      <w:r w:rsidRPr="00152D3F">
        <w:rPr>
          <w:color w:val="000000"/>
          <w:lang w:val="zh-CN"/>
        </w:rPr>
        <w:t>The statistical publication presents data collected through nationwide agricultural surveys and administrative records [1]. Since the data originate from official government statistics, they provide high credibility and allow comparison across commodities using standardized definitions and measurement procedures [1], [2]. Consequently, the dataset is considered appropriate for national-level comparative analysis and policy evaluation [10], [19].</w:t>
      </w:r>
    </w:p>
    <w:p w14:paraId="31A34FB1" w14:textId="77777777" w:rsidR="00152D3F" w:rsidRPr="00152D3F" w:rsidRDefault="00152D3F" w:rsidP="00152D3F">
      <w:pPr>
        <w:spacing w:after="0" w:line="276" w:lineRule="auto"/>
        <w:ind w:firstLine="567"/>
        <w:jc w:val="both"/>
        <w:rPr>
          <w:color w:val="000000"/>
          <w:lang w:val="zh-CN"/>
        </w:rPr>
      </w:pPr>
      <w:r w:rsidRPr="00152D3F">
        <w:rPr>
          <w:color w:val="000000"/>
          <w:lang w:val="zh-CN"/>
        </w:rPr>
        <w:t>The use of official BPS data also minimizes potential measurement errors associated with independently conducted primary surveys [1]. Furthermore, the data represent the most recent national horticultural statistics available during the study period. Therefore, the publication provides a reliable basis for evaluating Indonesia’s current horticultural production and consumption dynamics and for supporting evidence-based agricultural policymaking [3], [5], [17].</w:t>
      </w:r>
    </w:p>
    <w:p w14:paraId="4999DB5E" w14:textId="2C93AACC" w:rsidR="00152D3F" w:rsidRPr="00152D3F" w:rsidRDefault="00152D3F" w:rsidP="00152D3F">
      <w:pPr>
        <w:spacing w:before="120" w:after="0" w:line="276" w:lineRule="auto"/>
        <w:jc w:val="both"/>
        <w:rPr>
          <w:b/>
          <w:color w:val="000000"/>
          <w:lang w:val="en-US"/>
        </w:rPr>
      </w:pPr>
      <w:r w:rsidRPr="00152D3F">
        <w:rPr>
          <w:b/>
          <w:color w:val="000000"/>
          <w:lang w:val="en-US"/>
        </w:rPr>
        <w:t>2.3 Variables and Units of Analysis</w:t>
      </w:r>
    </w:p>
    <w:p w14:paraId="2E816F2E" w14:textId="77777777" w:rsidR="00152D3F" w:rsidRPr="00152D3F" w:rsidRDefault="00152D3F" w:rsidP="00152D3F">
      <w:pPr>
        <w:spacing w:after="0" w:line="276" w:lineRule="auto"/>
        <w:ind w:firstLine="567"/>
        <w:jc w:val="both"/>
        <w:rPr>
          <w:color w:val="000000"/>
          <w:lang w:val="zh-CN"/>
        </w:rPr>
      </w:pPr>
      <w:r w:rsidRPr="00152D3F">
        <w:rPr>
          <w:color w:val="000000"/>
          <w:lang w:val="zh-CN"/>
        </w:rPr>
        <w:t>The analysis focused on three principal variables representing the performance of strategic horticultural commodities. The first variable was production, measured in thousand tons, representing the total output produced by each commodity during 2024 [1]. Production reflects the availability of horticultural commodities within the domestic agricultural system and serves as an indicator of national production capacity [3], [6].</w:t>
      </w:r>
    </w:p>
    <w:p w14:paraId="3692FCDF" w14:textId="77777777" w:rsidR="00152D3F" w:rsidRPr="00152D3F" w:rsidRDefault="00152D3F" w:rsidP="00152D3F">
      <w:pPr>
        <w:spacing w:after="0" w:line="276" w:lineRule="auto"/>
        <w:ind w:firstLine="567"/>
        <w:jc w:val="both"/>
        <w:rPr>
          <w:color w:val="000000"/>
          <w:spacing w:val="4"/>
          <w:lang w:val="zh-CN"/>
        </w:rPr>
      </w:pPr>
      <w:r w:rsidRPr="00152D3F">
        <w:rPr>
          <w:color w:val="000000"/>
          <w:spacing w:val="4"/>
          <w:lang w:val="zh-CN"/>
        </w:rPr>
        <w:t>The second variable was household consumption, also measured in thousand tons [1]. Household consumption represents the quantity of each commodity consumed by Indonesian households during the same period. This variable provides an indication of domestic demand, consumer preferences, and the contribution of horticultural commodities to food availability and nutrition [5], [10].</w:t>
      </w:r>
    </w:p>
    <w:p w14:paraId="3FFBC397" w14:textId="77777777" w:rsidR="00152D3F" w:rsidRPr="00152D3F" w:rsidRDefault="00152D3F" w:rsidP="00152D3F">
      <w:pPr>
        <w:spacing w:after="0" w:line="276" w:lineRule="auto"/>
        <w:ind w:firstLine="567"/>
        <w:jc w:val="both"/>
        <w:rPr>
          <w:color w:val="000000"/>
          <w:lang w:val="zh-CN"/>
        </w:rPr>
      </w:pPr>
      <w:r w:rsidRPr="00152D3F">
        <w:rPr>
          <w:color w:val="000000"/>
          <w:lang w:val="zh-CN"/>
        </w:rPr>
        <w:t>The third variable was the production-consumption gap, calculated by subtracting household consumption from domestic production. A positive production-consumption gap indicates that domestic production exceeds household consumption, whereas a negative value indicates that domestic production is insufficient to satisfy household demand [10], [19]. This indicator provides important information regarding commodity self-sufficiency, market balance, and potential import dependency [14], [17].</w:t>
      </w:r>
    </w:p>
    <w:p w14:paraId="388B43C2" w14:textId="77777777" w:rsidR="00152D3F" w:rsidRPr="00152D3F" w:rsidRDefault="00152D3F" w:rsidP="00152D3F">
      <w:pPr>
        <w:spacing w:after="0" w:line="276" w:lineRule="auto"/>
        <w:ind w:firstLine="567"/>
        <w:jc w:val="both"/>
        <w:rPr>
          <w:color w:val="000000"/>
          <w:spacing w:val="2"/>
          <w:lang w:val="zh-CN"/>
        </w:rPr>
      </w:pPr>
      <w:r w:rsidRPr="00152D3F">
        <w:rPr>
          <w:color w:val="000000"/>
          <w:spacing w:val="2"/>
          <w:lang w:val="zh-CN"/>
        </w:rPr>
        <w:t>The unit of analysis in this study consisted of individual strategic horticultural commodities rather than provinces or administrative regions. Each commodity was treated as an independent analytical unit to facilitate comparison of production performance and consumption dynamics across commodities [19]. This commodity-based approach enables identification of dominant commodities, structurally weak commodities, and priority commodities requiring policy intervention [14], [17].</w:t>
      </w:r>
    </w:p>
    <w:p w14:paraId="51B34364" w14:textId="77777777" w:rsidR="00152D3F" w:rsidRPr="00152D3F" w:rsidRDefault="00152D3F" w:rsidP="00152D3F">
      <w:pPr>
        <w:spacing w:after="0" w:line="276" w:lineRule="auto"/>
        <w:ind w:firstLine="567"/>
        <w:jc w:val="both"/>
        <w:rPr>
          <w:color w:val="000000"/>
          <w:lang w:val="zh-CN"/>
        </w:rPr>
      </w:pPr>
      <w:r w:rsidRPr="00152D3F">
        <w:rPr>
          <w:color w:val="000000"/>
          <w:lang w:val="zh-CN"/>
        </w:rPr>
        <w:t>All production and consumption data were standardized into thousand tons to ensure comparability among commodities [1]. Standardized units simplify statistical interpretation and facilitate comparisons of production-consumption balances. Consequently, the analysis provides a comprehensive overview of Indonesia's strategic horticultural commodity structure and its implications for food security and agricultural sustainability [5], [10].</w:t>
      </w:r>
    </w:p>
    <w:p w14:paraId="10FC9E5E" w14:textId="47150736" w:rsidR="00152D3F" w:rsidRPr="00152D3F" w:rsidRDefault="00152D3F" w:rsidP="00152D3F">
      <w:pPr>
        <w:spacing w:before="120" w:after="0" w:line="276" w:lineRule="auto"/>
        <w:jc w:val="both"/>
        <w:rPr>
          <w:b/>
          <w:color w:val="000000"/>
          <w:lang w:val="en-US"/>
        </w:rPr>
      </w:pPr>
      <w:r w:rsidRPr="00152D3F">
        <w:rPr>
          <w:b/>
          <w:color w:val="000000"/>
          <w:lang w:val="en-US"/>
        </w:rPr>
        <w:t>2.4 Data Analysis Method</w:t>
      </w:r>
    </w:p>
    <w:p w14:paraId="46542463" w14:textId="77777777" w:rsidR="00152D3F" w:rsidRPr="00152D3F" w:rsidRDefault="00152D3F" w:rsidP="00152D3F">
      <w:pPr>
        <w:spacing w:after="0" w:line="276" w:lineRule="auto"/>
        <w:ind w:firstLine="567"/>
        <w:jc w:val="both"/>
        <w:rPr>
          <w:color w:val="000000"/>
          <w:lang w:val="zh-CN"/>
        </w:rPr>
      </w:pPr>
      <w:r w:rsidRPr="00152D3F">
        <w:rPr>
          <w:color w:val="000000"/>
          <w:lang w:val="zh-CN"/>
        </w:rPr>
        <w:t>The study employed descriptive statistical analysis to summarize production and household consumption data for each selected commodity [19]. Descriptive statistics were used because the objective of the research was to compare commodity performance rather than to test causal hypotheses. The results were presented in tables and discussed using comparative descriptive interpretation to facilitate understanding of production and consumption patterns [1].</w:t>
      </w:r>
    </w:p>
    <w:p w14:paraId="2504B233" w14:textId="77777777" w:rsidR="00152D3F" w:rsidRPr="00152D3F" w:rsidRDefault="00152D3F" w:rsidP="00152D3F">
      <w:pPr>
        <w:spacing w:after="0" w:line="276" w:lineRule="auto"/>
        <w:ind w:firstLine="567"/>
        <w:jc w:val="both"/>
        <w:rPr>
          <w:color w:val="000000"/>
          <w:lang w:val="zh-CN"/>
        </w:rPr>
      </w:pPr>
      <w:r w:rsidRPr="00152D3F">
        <w:rPr>
          <w:color w:val="000000"/>
          <w:lang w:val="zh-CN"/>
        </w:rPr>
        <w:t>Comparative analysis was applied to evaluate differences in production and household consumption among commodities [19]. This method enabled identification of commodities with the highest production, the highest household consumption, and the largest production-consumption imbalance. Such comparisons provide valuable information regarding the relative performance, competitiveness, and strategic importance of horticultural commodities [9], [10].</w:t>
      </w:r>
    </w:p>
    <w:p w14:paraId="403505E6" w14:textId="77777777" w:rsidR="00152D3F" w:rsidRPr="00152D3F" w:rsidRDefault="00152D3F" w:rsidP="00152D3F">
      <w:pPr>
        <w:spacing w:after="0" w:line="276" w:lineRule="auto"/>
        <w:ind w:firstLine="567"/>
        <w:jc w:val="both"/>
        <w:rPr>
          <w:color w:val="000000"/>
          <w:lang w:val="zh-CN"/>
        </w:rPr>
      </w:pPr>
      <w:r w:rsidRPr="00152D3F">
        <w:rPr>
          <w:color w:val="000000"/>
          <w:lang w:val="zh-CN"/>
        </w:rPr>
        <w:t>In addition, production-consumption gap analysis was performed to assess the balance between domestic supply and household demand. Positive gaps were interpreted as indications that production exceeded household consumption, whereas negative gaps suggested insufficient domestic production and potential dependence on imports [14]. This analysis is particularly useful for identifying commodities requiring policy intervention to improve domestic production capacity and reduce import dependency [17].</w:t>
      </w:r>
    </w:p>
    <w:p w14:paraId="66DE8C92" w14:textId="4D302B4F" w:rsidR="00152D3F" w:rsidRPr="00EB43C4" w:rsidRDefault="00152D3F" w:rsidP="00152D3F">
      <w:pPr>
        <w:spacing w:after="0" w:line="276" w:lineRule="auto"/>
        <w:ind w:firstLine="567"/>
        <w:jc w:val="both"/>
        <w:rPr>
          <w:color w:val="000000"/>
        </w:rPr>
      </w:pPr>
      <w:r w:rsidRPr="00152D3F">
        <w:rPr>
          <w:color w:val="000000"/>
          <w:lang w:val="en-US"/>
        </w:rPr>
        <w:t>Finally, the analytical results were interpreted from the perspective of horticultural development and national food security [5], [17]. The discussion emphasized commodity competitiveness, production sustainability, domestic supply capacity, and opportunities for strengthening agricultural development policies. The findings were subsequently used to formulate policy recommendations concerning productivity improvement, import substitution, supply chain strengthening, and sustainable horticultural development in Indonesia [3], [10], [17].</w:t>
      </w:r>
    </w:p>
    <w:p w14:paraId="1DF010F8" w14:textId="724D37AA" w:rsidR="006D00C2" w:rsidRPr="00036098" w:rsidRDefault="006C077A" w:rsidP="006D00C2">
      <w:pPr>
        <w:pStyle w:val="ListParagraph"/>
        <w:numPr>
          <w:ilvl w:val="0"/>
          <w:numId w:val="8"/>
        </w:numPr>
        <w:spacing w:before="240" w:line="276" w:lineRule="auto"/>
        <w:jc w:val="both"/>
        <w:rPr>
          <w:b/>
          <w:bCs/>
          <w:color w:val="000000"/>
        </w:rPr>
      </w:pPr>
      <w:r w:rsidRPr="00036098">
        <w:rPr>
          <w:b/>
          <w:bCs/>
          <w:color w:val="000000"/>
        </w:rPr>
        <w:t>Results</w:t>
      </w:r>
    </w:p>
    <w:p w14:paraId="72D7419F" w14:textId="77777777" w:rsidR="00152D3F" w:rsidRPr="00152D3F" w:rsidRDefault="00152D3F" w:rsidP="00152D3F">
      <w:pPr>
        <w:spacing w:after="0" w:line="276" w:lineRule="auto"/>
        <w:ind w:firstLine="567"/>
        <w:jc w:val="both"/>
        <w:rPr>
          <w:color w:val="000000"/>
          <w:lang w:val="zh-CN"/>
        </w:rPr>
      </w:pPr>
      <w:r w:rsidRPr="00152D3F">
        <w:rPr>
          <w:color w:val="000000"/>
          <w:lang w:val="zh-CN"/>
        </w:rPr>
        <w:t xml:space="preserve">This section presents the results of the comparative analysis of production and household consumption for selected strategic horticultural commodities in Indonesia using official data from </w:t>
      </w:r>
      <w:r w:rsidRPr="00152D3F">
        <w:rPr>
          <w:i/>
          <w:iCs/>
          <w:color w:val="000000"/>
          <w:lang w:val="zh-CN"/>
        </w:rPr>
        <w:t>Statistics of Horticulture 2024</w:t>
      </w:r>
      <w:r w:rsidRPr="00152D3F">
        <w:rPr>
          <w:color w:val="000000"/>
          <w:lang w:val="zh-CN"/>
        </w:rPr>
        <w:t xml:space="preserve"> [1]. The findings provide an overview of the current production structure, consumption patterns, and production-consumption balance of major horticultural commodities that contribute to national food availability and agricultural development [3], [5], [17]. By comparing production and consumption indicators, the study identifies commodities with production surpluses and those experiencing production deficits [10], [19]. These results provide empirical evidence for evaluating the capacity of domestic horticultural production to meet household demand and support national food security [5], [10], [17].</w:t>
      </w:r>
    </w:p>
    <w:p w14:paraId="46FD789B" w14:textId="77777777" w:rsidR="00152D3F" w:rsidRPr="00152D3F" w:rsidRDefault="00152D3F" w:rsidP="00152D3F">
      <w:pPr>
        <w:spacing w:after="0" w:line="276" w:lineRule="auto"/>
        <w:ind w:firstLine="567"/>
        <w:jc w:val="both"/>
        <w:rPr>
          <w:color w:val="000000"/>
          <w:lang w:val="zh-CN"/>
        </w:rPr>
      </w:pPr>
      <w:r w:rsidRPr="00152D3F">
        <w:rPr>
          <w:color w:val="000000"/>
          <w:lang w:val="zh-CN"/>
        </w:rPr>
        <w:t>The results are organized into three subsections. The first subsection presents the production and household consumption of selected strategic horticultural commodities. The second subsection discusses the dominance of major commodities within Indonesia's horticultural production system. The final subsection examines the production-consumption gap and its implications for domestic food supply, commodity self-sufficiency, and future horticultural development policies [3], [10], [17].</w:t>
      </w:r>
    </w:p>
    <w:p w14:paraId="3A92AA87" w14:textId="34F1324C" w:rsidR="00152D3F" w:rsidRPr="00152D3F" w:rsidRDefault="00152D3F" w:rsidP="00152D3F">
      <w:pPr>
        <w:spacing w:before="120" w:after="0" w:line="276" w:lineRule="auto"/>
        <w:jc w:val="both"/>
        <w:rPr>
          <w:b/>
          <w:color w:val="000000"/>
          <w:lang w:val="en-US"/>
        </w:rPr>
      </w:pPr>
      <w:r w:rsidRPr="00152D3F">
        <w:rPr>
          <w:b/>
          <w:color w:val="000000"/>
          <w:lang w:val="en-US"/>
        </w:rPr>
        <w:t>3.1 Production and Consumption of Strategic Horticultural Commodities</w:t>
      </w:r>
    </w:p>
    <w:p w14:paraId="27A4C700" w14:textId="77777777" w:rsidR="00152D3F" w:rsidRPr="00152D3F" w:rsidRDefault="00152D3F" w:rsidP="00152D3F">
      <w:pPr>
        <w:spacing w:after="0" w:line="276" w:lineRule="auto"/>
        <w:ind w:firstLine="567"/>
        <w:jc w:val="both"/>
        <w:rPr>
          <w:color w:val="000000"/>
          <w:lang w:val="zh-CN"/>
        </w:rPr>
      </w:pPr>
      <w:r w:rsidRPr="00152D3F">
        <w:rPr>
          <w:color w:val="000000"/>
          <w:lang w:val="zh-CN"/>
        </w:rPr>
        <w:t xml:space="preserve">Table 1 presents the production and household consumption of selected strategic horticultural commodities in Indonesia in 2024 based on official statistics published by BPS-Statistics Indonesia [1]. The comparison indicates considerable variation in production performance among the selected commodities, reflecting differences in cultivation scale, market demand, agroecological suitability, and production capacity [3], [6]. Banana recorded the highest production, reaching </w:t>
      </w:r>
      <w:r w:rsidRPr="00152D3F">
        <w:rPr>
          <w:bCs/>
          <w:color w:val="000000"/>
          <w:lang w:val="zh-CN"/>
        </w:rPr>
        <w:t>9,260 thousand tons</w:t>
      </w:r>
      <w:r w:rsidRPr="00152D3F">
        <w:rPr>
          <w:color w:val="000000"/>
          <w:lang w:val="zh-CN"/>
        </w:rPr>
        <w:t xml:space="preserve">, demonstrating its dominant position among Indonesian horticultural commodities, whereas garlic recorded the lowest production at only </w:t>
      </w:r>
      <w:r w:rsidRPr="00152D3F">
        <w:rPr>
          <w:bCs/>
          <w:color w:val="000000"/>
          <w:lang w:val="zh-CN"/>
        </w:rPr>
        <w:t>39.44 thousand tons</w:t>
      </w:r>
      <w:r w:rsidRPr="00152D3F">
        <w:rPr>
          <w:color w:val="000000"/>
          <w:lang w:val="zh-CN"/>
        </w:rPr>
        <w:t xml:space="preserve"> [1]. Among vegetable commodities, shallot, cayenne pepper, big chili, potato, and tomato also recorded relatively high production volumes, indicating their strategic role in supporting household food consumption and national food markets [3], [11], [17]. Overall, the production data demonstrate that Indonesia possesses substantial production capacity for several horticultural commodities, although significant disparities remain among commodities in terms of their contribution to domestic food supply and agricultural production [5], [9], [20].</w:t>
      </w:r>
    </w:p>
    <w:p w14:paraId="13346D80" w14:textId="7F1F44E6" w:rsidR="00152D3F" w:rsidRDefault="00152D3F" w:rsidP="002E2B34">
      <w:pPr>
        <w:spacing w:before="120" w:after="0" w:line="276" w:lineRule="auto"/>
        <w:jc w:val="center"/>
        <w:rPr>
          <w:rFonts w:eastAsiaTheme="minorEastAsia"/>
          <w:bCs/>
          <w:color w:val="000000"/>
          <w:lang w:val="zh-CN" w:eastAsia="zh-CN"/>
        </w:rPr>
      </w:pPr>
      <w:r w:rsidRPr="00152D3F">
        <w:rPr>
          <w:bCs/>
          <w:color w:val="000000"/>
          <w:lang w:val="zh-CN"/>
        </w:rPr>
        <w:t>Table 1. Production and household consumption of selected strategic horticultural commodities in Indonesia, 2024</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0"/>
        <w:gridCol w:w="1325"/>
        <w:gridCol w:w="1824"/>
        <w:gridCol w:w="2570"/>
        <w:gridCol w:w="2825"/>
      </w:tblGrid>
      <w:tr w:rsidR="00152D3F" w:rsidRPr="002752A0" w14:paraId="7B5008D7" w14:textId="77777777" w:rsidTr="002E2B34">
        <w:trPr>
          <w:tblHeader/>
          <w:tblCellSpacing w:w="15" w:type="dxa"/>
        </w:trPr>
        <w:tc>
          <w:tcPr>
            <w:tcW w:w="0" w:type="auto"/>
            <w:tcBorders>
              <w:top w:val="single" w:sz="4" w:space="0" w:color="auto"/>
              <w:bottom w:val="single" w:sz="4" w:space="0" w:color="auto"/>
            </w:tcBorders>
            <w:vAlign w:val="center"/>
            <w:hideMark/>
          </w:tcPr>
          <w:p w14:paraId="3DA041CC" w14:textId="77777777" w:rsidR="00152D3F" w:rsidRPr="002752A0" w:rsidRDefault="00152D3F" w:rsidP="002E2B34">
            <w:pPr>
              <w:spacing w:after="0" w:line="240" w:lineRule="auto"/>
              <w:jc w:val="center"/>
              <w:rPr>
                <w:rFonts w:eastAsia="Times New Roman"/>
                <w:bCs/>
                <w:lang w:eastAsia="en-ID"/>
              </w:rPr>
            </w:pPr>
            <w:r w:rsidRPr="002752A0">
              <w:rPr>
                <w:rFonts w:eastAsia="Times New Roman"/>
                <w:bCs/>
                <w:lang w:eastAsia="en-ID"/>
              </w:rPr>
              <w:t>No.</w:t>
            </w:r>
          </w:p>
        </w:tc>
        <w:tc>
          <w:tcPr>
            <w:tcW w:w="0" w:type="auto"/>
            <w:tcBorders>
              <w:top w:val="single" w:sz="4" w:space="0" w:color="auto"/>
              <w:bottom w:val="single" w:sz="4" w:space="0" w:color="auto"/>
            </w:tcBorders>
            <w:vAlign w:val="center"/>
            <w:hideMark/>
          </w:tcPr>
          <w:p w14:paraId="48090BF2" w14:textId="77777777" w:rsidR="00152D3F" w:rsidRPr="002752A0" w:rsidRDefault="00152D3F" w:rsidP="002E2B34">
            <w:pPr>
              <w:spacing w:after="0" w:line="240" w:lineRule="auto"/>
              <w:jc w:val="center"/>
              <w:rPr>
                <w:rFonts w:eastAsia="Times New Roman"/>
                <w:bCs/>
                <w:lang w:eastAsia="en-ID"/>
              </w:rPr>
            </w:pPr>
            <w:r w:rsidRPr="002752A0">
              <w:rPr>
                <w:rFonts w:eastAsia="Times New Roman"/>
                <w:bCs/>
                <w:lang w:eastAsia="en-ID"/>
              </w:rPr>
              <w:t>Commodity</w:t>
            </w:r>
          </w:p>
        </w:tc>
        <w:tc>
          <w:tcPr>
            <w:tcW w:w="0" w:type="auto"/>
            <w:tcBorders>
              <w:top w:val="single" w:sz="4" w:space="0" w:color="auto"/>
              <w:bottom w:val="single" w:sz="4" w:space="0" w:color="auto"/>
            </w:tcBorders>
            <w:vAlign w:val="center"/>
            <w:hideMark/>
          </w:tcPr>
          <w:p w14:paraId="1E1C1EC7" w14:textId="77777777" w:rsidR="00152D3F" w:rsidRPr="002752A0" w:rsidRDefault="00152D3F" w:rsidP="002E2B34">
            <w:pPr>
              <w:spacing w:after="0" w:line="240" w:lineRule="auto"/>
              <w:jc w:val="center"/>
              <w:rPr>
                <w:rFonts w:eastAsia="Times New Roman"/>
                <w:bCs/>
                <w:lang w:eastAsia="en-ID"/>
              </w:rPr>
            </w:pPr>
            <w:r w:rsidRPr="002752A0">
              <w:rPr>
                <w:rFonts w:eastAsia="Times New Roman"/>
                <w:bCs/>
                <w:lang w:eastAsia="en-ID"/>
              </w:rPr>
              <w:t>Production (thousand tons)</w:t>
            </w:r>
          </w:p>
        </w:tc>
        <w:tc>
          <w:tcPr>
            <w:tcW w:w="0" w:type="auto"/>
            <w:tcBorders>
              <w:top w:val="single" w:sz="4" w:space="0" w:color="auto"/>
              <w:bottom w:val="single" w:sz="4" w:space="0" w:color="auto"/>
            </w:tcBorders>
            <w:vAlign w:val="center"/>
            <w:hideMark/>
          </w:tcPr>
          <w:p w14:paraId="37D5864B" w14:textId="77777777" w:rsidR="00152D3F" w:rsidRPr="002752A0" w:rsidRDefault="00152D3F" w:rsidP="002E2B34">
            <w:pPr>
              <w:spacing w:after="0" w:line="240" w:lineRule="auto"/>
              <w:jc w:val="center"/>
              <w:rPr>
                <w:rFonts w:eastAsia="Times New Roman"/>
                <w:bCs/>
                <w:lang w:eastAsia="en-ID"/>
              </w:rPr>
            </w:pPr>
            <w:r w:rsidRPr="002752A0">
              <w:rPr>
                <w:rFonts w:eastAsia="Times New Roman"/>
                <w:bCs/>
                <w:lang w:eastAsia="en-ID"/>
              </w:rPr>
              <w:t>Household Consumption (thousand tons)</w:t>
            </w:r>
          </w:p>
        </w:tc>
        <w:tc>
          <w:tcPr>
            <w:tcW w:w="0" w:type="auto"/>
            <w:tcBorders>
              <w:top w:val="single" w:sz="4" w:space="0" w:color="auto"/>
              <w:bottom w:val="single" w:sz="4" w:space="0" w:color="auto"/>
            </w:tcBorders>
            <w:vAlign w:val="center"/>
            <w:hideMark/>
          </w:tcPr>
          <w:p w14:paraId="158DC876" w14:textId="77777777" w:rsidR="00152D3F" w:rsidRPr="002752A0" w:rsidRDefault="00152D3F" w:rsidP="002E2B34">
            <w:pPr>
              <w:spacing w:after="0" w:line="240" w:lineRule="auto"/>
              <w:jc w:val="center"/>
              <w:rPr>
                <w:rFonts w:eastAsia="Times New Roman"/>
                <w:bCs/>
                <w:lang w:eastAsia="en-ID"/>
              </w:rPr>
            </w:pPr>
            <w:r w:rsidRPr="002752A0">
              <w:rPr>
                <w:rFonts w:eastAsia="Times New Roman"/>
                <w:bCs/>
                <w:lang w:eastAsia="en-ID"/>
              </w:rPr>
              <w:t>Production-Consumption Gap (thousand tons)</w:t>
            </w:r>
          </w:p>
        </w:tc>
      </w:tr>
      <w:tr w:rsidR="00152D3F" w:rsidRPr="002752A0" w14:paraId="2E66367D" w14:textId="77777777" w:rsidTr="002E2B34">
        <w:trPr>
          <w:tblCellSpacing w:w="15" w:type="dxa"/>
        </w:trPr>
        <w:tc>
          <w:tcPr>
            <w:tcW w:w="0" w:type="auto"/>
            <w:vAlign w:val="center"/>
            <w:hideMark/>
          </w:tcPr>
          <w:p w14:paraId="4870263A"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1</w:t>
            </w:r>
          </w:p>
        </w:tc>
        <w:tc>
          <w:tcPr>
            <w:tcW w:w="0" w:type="auto"/>
            <w:vAlign w:val="center"/>
            <w:hideMark/>
          </w:tcPr>
          <w:p w14:paraId="11775E4F"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Shallot</w:t>
            </w:r>
          </w:p>
        </w:tc>
        <w:tc>
          <w:tcPr>
            <w:tcW w:w="0" w:type="auto"/>
            <w:vAlign w:val="center"/>
            <w:hideMark/>
          </w:tcPr>
          <w:p w14:paraId="2B69AB02"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2,090.00</w:t>
            </w:r>
          </w:p>
        </w:tc>
        <w:tc>
          <w:tcPr>
            <w:tcW w:w="0" w:type="auto"/>
            <w:vAlign w:val="center"/>
            <w:hideMark/>
          </w:tcPr>
          <w:p w14:paraId="0FD228F2"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808.00</w:t>
            </w:r>
          </w:p>
        </w:tc>
        <w:tc>
          <w:tcPr>
            <w:tcW w:w="0" w:type="auto"/>
            <w:vAlign w:val="center"/>
            <w:hideMark/>
          </w:tcPr>
          <w:p w14:paraId="0C798EC1"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1,282.00</w:t>
            </w:r>
          </w:p>
        </w:tc>
      </w:tr>
      <w:tr w:rsidR="00152D3F" w:rsidRPr="002752A0" w14:paraId="2FC7D5B8" w14:textId="77777777" w:rsidTr="002E2B34">
        <w:trPr>
          <w:tblCellSpacing w:w="15" w:type="dxa"/>
        </w:trPr>
        <w:tc>
          <w:tcPr>
            <w:tcW w:w="0" w:type="auto"/>
            <w:vAlign w:val="center"/>
            <w:hideMark/>
          </w:tcPr>
          <w:p w14:paraId="224531FA"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2</w:t>
            </w:r>
          </w:p>
        </w:tc>
        <w:tc>
          <w:tcPr>
            <w:tcW w:w="0" w:type="auto"/>
            <w:vAlign w:val="center"/>
            <w:hideMark/>
          </w:tcPr>
          <w:p w14:paraId="539B121F"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Garlic</w:t>
            </w:r>
          </w:p>
        </w:tc>
        <w:tc>
          <w:tcPr>
            <w:tcW w:w="0" w:type="auto"/>
            <w:vAlign w:val="center"/>
            <w:hideMark/>
          </w:tcPr>
          <w:p w14:paraId="7F1301FB"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39.44</w:t>
            </w:r>
          </w:p>
        </w:tc>
        <w:tc>
          <w:tcPr>
            <w:tcW w:w="0" w:type="auto"/>
            <w:vAlign w:val="center"/>
            <w:hideMark/>
          </w:tcPr>
          <w:p w14:paraId="173FE868"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544.37</w:t>
            </w:r>
          </w:p>
        </w:tc>
        <w:tc>
          <w:tcPr>
            <w:tcW w:w="0" w:type="auto"/>
            <w:vAlign w:val="center"/>
            <w:hideMark/>
          </w:tcPr>
          <w:p w14:paraId="09C398C1"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-504.93</w:t>
            </w:r>
          </w:p>
        </w:tc>
      </w:tr>
      <w:tr w:rsidR="00152D3F" w:rsidRPr="002752A0" w14:paraId="74346C05" w14:textId="77777777" w:rsidTr="002E2B34">
        <w:trPr>
          <w:tblCellSpacing w:w="15" w:type="dxa"/>
        </w:trPr>
        <w:tc>
          <w:tcPr>
            <w:tcW w:w="0" w:type="auto"/>
            <w:vAlign w:val="center"/>
            <w:hideMark/>
          </w:tcPr>
          <w:p w14:paraId="205EB0C3"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3</w:t>
            </w:r>
          </w:p>
        </w:tc>
        <w:tc>
          <w:tcPr>
            <w:tcW w:w="0" w:type="auto"/>
            <w:vAlign w:val="center"/>
            <w:hideMark/>
          </w:tcPr>
          <w:p w14:paraId="6BAFF62A"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Big chili</w:t>
            </w:r>
          </w:p>
        </w:tc>
        <w:tc>
          <w:tcPr>
            <w:tcW w:w="0" w:type="auto"/>
            <w:vAlign w:val="center"/>
            <w:hideMark/>
          </w:tcPr>
          <w:p w14:paraId="5883947B"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1,470.00</w:t>
            </w:r>
          </w:p>
        </w:tc>
        <w:tc>
          <w:tcPr>
            <w:tcW w:w="0" w:type="auto"/>
            <w:vAlign w:val="center"/>
            <w:hideMark/>
          </w:tcPr>
          <w:p w14:paraId="4AE409D3"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600.42</w:t>
            </w:r>
          </w:p>
        </w:tc>
        <w:tc>
          <w:tcPr>
            <w:tcW w:w="0" w:type="auto"/>
            <w:vAlign w:val="center"/>
            <w:hideMark/>
          </w:tcPr>
          <w:p w14:paraId="2959C702"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869.58</w:t>
            </w:r>
          </w:p>
        </w:tc>
      </w:tr>
      <w:tr w:rsidR="00152D3F" w:rsidRPr="002752A0" w14:paraId="761A37C1" w14:textId="77777777" w:rsidTr="002E2B34">
        <w:trPr>
          <w:tblCellSpacing w:w="15" w:type="dxa"/>
        </w:trPr>
        <w:tc>
          <w:tcPr>
            <w:tcW w:w="0" w:type="auto"/>
            <w:vAlign w:val="center"/>
            <w:hideMark/>
          </w:tcPr>
          <w:p w14:paraId="1A20E2EC"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4</w:t>
            </w:r>
          </w:p>
        </w:tc>
        <w:tc>
          <w:tcPr>
            <w:tcW w:w="0" w:type="auto"/>
            <w:vAlign w:val="center"/>
            <w:hideMark/>
          </w:tcPr>
          <w:p w14:paraId="7AAE28CF"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Cayenne pepper</w:t>
            </w:r>
          </w:p>
        </w:tc>
        <w:tc>
          <w:tcPr>
            <w:tcW w:w="0" w:type="auto"/>
            <w:vAlign w:val="center"/>
            <w:hideMark/>
          </w:tcPr>
          <w:p w14:paraId="06608C6E"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1,570.00</w:t>
            </w:r>
          </w:p>
        </w:tc>
        <w:tc>
          <w:tcPr>
            <w:tcW w:w="0" w:type="auto"/>
            <w:vAlign w:val="center"/>
            <w:hideMark/>
          </w:tcPr>
          <w:p w14:paraId="40F81BEC"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598.47</w:t>
            </w:r>
          </w:p>
        </w:tc>
        <w:tc>
          <w:tcPr>
            <w:tcW w:w="0" w:type="auto"/>
            <w:vAlign w:val="center"/>
            <w:hideMark/>
          </w:tcPr>
          <w:p w14:paraId="0953FCE9"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971.53</w:t>
            </w:r>
          </w:p>
        </w:tc>
      </w:tr>
      <w:tr w:rsidR="00152D3F" w:rsidRPr="002752A0" w14:paraId="0D75F163" w14:textId="77777777" w:rsidTr="002E2B34">
        <w:trPr>
          <w:tblCellSpacing w:w="15" w:type="dxa"/>
        </w:trPr>
        <w:tc>
          <w:tcPr>
            <w:tcW w:w="0" w:type="auto"/>
            <w:vAlign w:val="center"/>
            <w:hideMark/>
          </w:tcPr>
          <w:p w14:paraId="66D9E165"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5</w:t>
            </w:r>
          </w:p>
        </w:tc>
        <w:tc>
          <w:tcPr>
            <w:tcW w:w="0" w:type="auto"/>
            <w:vAlign w:val="center"/>
            <w:hideMark/>
          </w:tcPr>
          <w:p w14:paraId="4FA8CA50"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Potato</w:t>
            </w:r>
          </w:p>
        </w:tc>
        <w:tc>
          <w:tcPr>
            <w:tcW w:w="0" w:type="auto"/>
            <w:vAlign w:val="center"/>
            <w:hideMark/>
          </w:tcPr>
          <w:p w14:paraId="19664B1D"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1,270.00</w:t>
            </w:r>
          </w:p>
        </w:tc>
        <w:tc>
          <w:tcPr>
            <w:tcW w:w="0" w:type="auto"/>
            <w:vAlign w:val="center"/>
            <w:hideMark/>
          </w:tcPr>
          <w:p w14:paraId="045C482B"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706.75</w:t>
            </w:r>
          </w:p>
        </w:tc>
        <w:tc>
          <w:tcPr>
            <w:tcW w:w="0" w:type="auto"/>
            <w:vAlign w:val="center"/>
            <w:hideMark/>
          </w:tcPr>
          <w:p w14:paraId="634948AD"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563.25</w:t>
            </w:r>
          </w:p>
        </w:tc>
      </w:tr>
      <w:tr w:rsidR="00152D3F" w:rsidRPr="002752A0" w14:paraId="34FD1028" w14:textId="77777777" w:rsidTr="002E2B34">
        <w:trPr>
          <w:tblCellSpacing w:w="15" w:type="dxa"/>
        </w:trPr>
        <w:tc>
          <w:tcPr>
            <w:tcW w:w="0" w:type="auto"/>
            <w:vAlign w:val="center"/>
            <w:hideMark/>
          </w:tcPr>
          <w:p w14:paraId="00BA22F5"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6</w:t>
            </w:r>
          </w:p>
        </w:tc>
        <w:tc>
          <w:tcPr>
            <w:tcW w:w="0" w:type="auto"/>
            <w:vAlign w:val="center"/>
            <w:hideMark/>
          </w:tcPr>
          <w:p w14:paraId="7FDBC91F"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Tomato</w:t>
            </w:r>
          </w:p>
        </w:tc>
        <w:tc>
          <w:tcPr>
            <w:tcW w:w="0" w:type="auto"/>
            <w:vAlign w:val="center"/>
            <w:hideMark/>
          </w:tcPr>
          <w:p w14:paraId="2DBFAC57"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1,150.00</w:t>
            </w:r>
          </w:p>
        </w:tc>
        <w:tc>
          <w:tcPr>
            <w:tcW w:w="0" w:type="auto"/>
            <w:vAlign w:val="center"/>
            <w:hideMark/>
          </w:tcPr>
          <w:p w14:paraId="2D435136"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595.75</w:t>
            </w:r>
          </w:p>
        </w:tc>
        <w:tc>
          <w:tcPr>
            <w:tcW w:w="0" w:type="auto"/>
            <w:vAlign w:val="center"/>
            <w:hideMark/>
          </w:tcPr>
          <w:p w14:paraId="0A8F42A9"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554.25</w:t>
            </w:r>
          </w:p>
        </w:tc>
      </w:tr>
      <w:tr w:rsidR="00152D3F" w:rsidRPr="002752A0" w14:paraId="28EDBDBD" w14:textId="77777777" w:rsidTr="002E2B34">
        <w:trPr>
          <w:tblCellSpacing w:w="15" w:type="dxa"/>
        </w:trPr>
        <w:tc>
          <w:tcPr>
            <w:tcW w:w="0" w:type="auto"/>
            <w:vAlign w:val="center"/>
            <w:hideMark/>
          </w:tcPr>
          <w:p w14:paraId="6B61A24C"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7</w:t>
            </w:r>
          </w:p>
        </w:tc>
        <w:tc>
          <w:tcPr>
            <w:tcW w:w="0" w:type="auto"/>
            <w:vAlign w:val="center"/>
            <w:hideMark/>
          </w:tcPr>
          <w:p w14:paraId="1B9C40A9"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Carrot</w:t>
            </w:r>
          </w:p>
        </w:tc>
        <w:tc>
          <w:tcPr>
            <w:tcW w:w="0" w:type="auto"/>
            <w:vAlign w:val="center"/>
            <w:hideMark/>
          </w:tcPr>
          <w:p w14:paraId="54696165"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681.66</w:t>
            </w:r>
          </w:p>
        </w:tc>
        <w:tc>
          <w:tcPr>
            <w:tcW w:w="0" w:type="auto"/>
            <w:vAlign w:val="center"/>
            <w:hideMark/>
          </w:tcPr>
          <w:p w14:paraId="69CA3CE6"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346.29</w:t>
            </w:r>
          </w:p>
        </w:tc>
        <w:tc>
          <w:tcPr>
            <w:tcW w:w="0" w:type="auto"/>
            <w:vAlign w:val="center"/>
            <w:hideMark/>
          </w:tcPr>
          <w:p w14:paraId="0E8F4243"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335.37</w:t>
            </w:r>
          </w:p>
        </w:tc>
      </w:tr>
      <w:tr w:rsidR="00152D3F" w:rsidRPr="002752A0" w14:paraId="576017DB" w14:textId="77777777" w:rsidTr="002E2B34">
        <w:trPr>
          <w:tblCellSpacing w:w="15" w:type="dxa"/>
        </w:trPr>
        <w:tc>
          <w:tcPr>
            <w:tcW w:w="0" w:type="auto"/>
            <w:vAlign w:val="center"/>
            <w:hideMark/>
          </w:tcPr>
          <w:p w14:paraId="4394B462"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8</w:t>
            </w:r>
          </w:p>
        </w:tc>
        <w:tc>
          <w:tcPr>
            <w:tcW w:w="0" w:type="auto"/>
            <w:vAlign w:val="center"/>
            <w:hideMark/>
          </w:tcPr>
          <w:p w14:paraId="3AD8DA56"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Banana</w:t>
            </w:r>
          </w:p>
        </w:tc>
        <w:tc>
          <w:tcPr>
            <w:tcW w:w="0" w:type="auto"/>
            <w:vAlign w:val="center"/>
            <w:hideMark/>
          </w:tcPr>
          <w:p w14:paraId="2C3CDAB4"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9,260.00</w:t>
            </w:r>
          </w:p>
        </w:tc>
        <w:tc>
          <w:tcPr>
            <w:tcW w:w="0" w:type="auto"/>
            <w:vAlign w:val="center"/>
            <w:hideMark/>
          </w:tcPr>
          <w:p w14:paraId="359EED7A"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1,820.00</w:t>
            </w:r>
          </w:p>
        </w:tc>
        <w:tc>
          <w:tcPr>
            <w:tcW w:w="0" w:type="auto"/>
            <w:vAlign w:val="center"/>
            <w:hideMark/>
          </w:tcPr>
          <w:p w14:paraId="2D09431A"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7,440.00</w:t>
            </w:r>
          </w:p>
        </w:tc>
      </w:tr>
      <w:tr w:rsidR="00152D3F" w:rsidRPr="002752A0" w14:paraId="0D37B283" w14:textId="77777777" w:rsidTr="002E2B34">
        <w:trPr>
          <w:tblCellSpacing w:w="15" w:type="dxa"/>
        </w:trPr>
        <w:tc>
          <w:tcPr>
            <w:tcW w:w="0" w:type="auto"/>
            <w:vAlign w:val="center"/>
            <w:hideMark/>
          </w:tcPr>
          <w:p w14:paraId="1C801D7A"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9</w:t>
            </w:r>
          </w:p>
        </w:tc>
        <w:tc>
          <w:tcPr>
            <w:tcW w:w="0" w:type="auto"/>
            <w:vAlign w:val="center"/>
            <w:hideMark/>
          </w:tcPr>
          <w:p w14:paraId="79F7A0E4"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Durian</w:t>
            </w:r>
          </w:p>
        </w:tc>
        <w:tc>
          <w:tcPr>
            <w:tcW w:w="0" w:type="auto"/>
            <w:vAlign w:val="center"/>
            <w:hideMark/>
          </w:tcPr>
          <w:p w14:paraId="2BE44749"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1,960.00</w:t>
            </w:r>
          </w:p>
        </w:tc>
        <w:tc>
          <w:tcPr>
            <w:tcW w:w="0" w:type="auto"/>
            <w:vAlign w:val="center"/>
            <w:hideMark/>
          </w:tcPr>
          <w:p w14:paraId="6F8F8A1E"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880.96</w:t>
            </w:r>
          </w:p>
        </w:tc>
        <w:tc>
          <w:tcPr>
            <w:tcW w:w="0" w:type="auto"/>
            <w:vAlign w:val="center"/>
            <w:hideMark/>
          </w:tcPr>
          <w:p w14:paraId="70B28F7D"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1,079.04</w:t>
            </w:r>
          </w:p>
        </w:tc>
      </w:tr>
      <w:tr w:rsidR="00152D3F" w:rsidRPr="002752A0" w14:paraId="5050F084" w14:textId="77777777" w:rsidTr="002E2B34">
        <w:trPr>
          <w:tblCellSpacing w:w="15" w:type="dxa"/>
        </w:trPr>
        <w:tc>
          <w:tcPr>
            <w:tcW w:w="0" w:type="auto"/>
            <w:vAlign w:val="center"/>
            <w:hideMark/>
          </w:tcPr>
          <w:p w14:paraId="2CC8080F"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10</w:t>
            </w:r>
          </w:p>
        </w:tc>
        <w:tc>
          <w:tcPr>
            <w:tcW w:w="0" w:type="auto"/>
            <w:vAlign w:val="center"/>
            <w:hideMark/>
          </w:tcPr>
          <w:p w14:paraId="10E9F155"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Orange</w:t>
            </w:r>
          </w:p>
        </w:tc>
        <w:tc>
          <w:tcPr>
            <w:tcW w:w="0" w:type="auto"/>
            <w:vAlign w:val="center"/>
            <w:hideMark/>
          </w:tcPr>
          <w:p w14:paraId="79DC0119"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2,580.00</w:t>
            </w:r>
          </w:p>
        </w:tc>
        <w:tc>
          <w:tcPr>
            <w:tcW w:w="0" w:type="auto"/>
            <w:vAlign w:val="center"/>
            <w:hideMark/>
          </w:tcPr>
          <w:p w14:paraId="08231745"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980.75</w:t>
            </w:r>
          </w:p>
        </w:tc>
        <w:tc>
          <w:tcPr>
            <w:tcW w:w="0" w:type="auto"/>
            <w:vAlign w:val="center"/>
            <w:hideMark/>
          </w:tcPr>
          <w:p w14:paraId="454056DB"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1,599.25</w:t>
            </w:r>
          </w:p>
        </w:tc>
      </w:tr>
      <w:tr w:rsidR="00152D3F" w:rsidRPr="002752A0" w14:paraId="7813C19E" w14:textId="77777777" w:rsidTr="002E2B34">
        <w:trPr>
          <w:tblCellSpacing w:w="15" w:type="dxa"/>
        </w:trPr>
        <w:tc>
          <w:tcPr>
            <w:tcW w:w="0" w:type="auto"/>
            <w:tcBorders>
              <w:bottom w:val="single" w:sz="4" w:space="0" w:color="auto"/>
            </w:tcBorders>
            <w:vAlign w:val="center"/>
            <w:hideMark/>
          </w:tcPr>
          <w:p w14:paraId="4C27D371"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11</w:t>
            </w:r>
          </w:p>
        </w:tc>
        <w:tc>
          <w:tcPr>
            <w:tcW w:w="0" w:type="auto"/>
            <w:tcBorders>
              <w:bottom w:val="single" w:sz="4" w:space="0" w:color="auto"/>
            </w:tcBorders>
            <w:vAlign w:val="center"/>
            <w:hideMark/>
          </w:tcPr>
          <w:p w14:paraId="2EE76793"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Mango</w:t>
            </w:r>
          </w:p>
        </w:tc>
        <w:tc>
          <w:tcPr>
            <w:tcW w:w="0" w:type="auto"/>
            <w:tcBorders>
              <w:bottom w:val="single" w:sz="4" w:space="0" w:color="auto"/>
            </w:tcBorders>
            <w:vAlign w:val="center"/>
            <w:hideMark/>
          </w:tcPr>
          <w:p w14:paraId="7E7D3DDA"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3,300.00</w:t>
            </w:r>
          </w:p>
        </w:tc>
        <w:tc>
          <w:tcPr>
            <w:tcW w:w="0" w:type="auto"/>
            <w:tcBorders>
              <w:bottom w:val="single" w:sz="4" w:space="0" w:color="auto"/>
            </w:tcBorders>
            <w:vAlign w:val="center"/>
            <w:hideMark/>
          </w:tcPr>
          <w:p w14:paraId="25BAD107"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206.69</w:t>
            </w:r>
          </w:p>
        </w:tc>
        <w:tc>
          <w:tcPr>
            <w:tcW w:w="0" w:type="auto"/>
            <w:tcBorders>
              <w:bottom w:val="single" w:sz="4" w:space="0" w:color="auto"/>
            </w:tcBorders>
            <w:vAlign w:val="center"/>
            <w:hideMark/>
          </w:tcPr>
          <w:p w14:paraId="0AF1C4B3" w14:textId="77777777" w:rsidR="00152D3F" w:rsidRPr="002752A0" w:rsidRDefault="00152D3F" w:rsidP="002E2B34">
            <w:pPr>
              <w:spacing w:after="0" w:line="240" w:lineRule="auto"/>
              <w:jc w:val="center"/>
              <w:rPr>
                <w:rFonts w:eastAsia="Times New Roman"/>
                <w:lang w:eastAsia="en-ID"/>
              </w:rPr>
            </w:pPr>
            <w:r w:rsidRPr="002752A0">
              <w:rPr>
                <w:rFonts w:eastAsia="Times New Roman"/>
                <w:lang w:eastAsia="en-ID"/>
              </w:rPr>
              <w:t>3,093.31</w:t>
            </w:r>
          </w:p>
        </w:tc>
      </w:tr>
    </w:tbl>
    <w:p w14:paraId="0DC19DB2" w14:textId="6FCE448F" w:rsidR="00152D3F" w:rsidRPr="00152D3F" w:rsidRDefault="00152D3F" w:rsidP="002E2B34">
      <w:pPr>
        <w:spacing w:before="120" w:after="0" w:line="276" w:lineRule="auto"/>
        <w:jc w:val="both"/>
        <w:rPr>
          <w:b/>
          <w:color w:val="000000"/>
          <w:lang w:val="en-US"/>
        </w:rPr>
      </w:pPr>
      <w:r w:rsidRPr="00152D3F">
        <w:rPr>
          <w:b/>
          <w:color w:val="000000"/>
          <w:lang w:val="en-US"/>
        </w:rPr>
        <w:t>3.2 Commodity Dominance in Horticultural Production</w:t>
      </w:r>
    </w:p>
    <w:p w14:paraId="57CB7893" w14:textId="77777777" w:rsidR="00152D3F" w:rsidRPr="00152D3F" w:rsidRDefault="00152D3F" w:rsidP="00152D3F">
      <w:pPr>
        <w:spacing w:after="0" w:line="276" w:lineRule="auto"/>
        <w:ind w:firstLine="567"/>
        <w:jc w:val="both"/>
        <w:rPr>
          <w:color w:val="000000"/>
          <w:lang w:val="zh-CN"/>
        </w:rPr>
      </w:pPr>
      <w:r w:rsidRPr="00152D3F">
        <w:rPr>
          <w:color w:val="000000"/>
          <w:lang w:val="zh-CN"/>
        </w:rPr>
        <w:t>The production structure indicates that fruit commodities dominate the selected strategic horticultural commodities in Indonesia [1], [6]. Banana recorded the highest production, followed by mango, orange, shallot, durian, and cayenne pepper [1]. This pattern shows that Indonesia has strong production capacity for tropical fruits, particularly banana and mango, which benefit from favorable climatic conditions and extensive cultivation areas [6], [9], [20]. The high production of these commodities also reflects strong domestic demand and their strategic importance in supporting food availability and agricultural economic development [3], [5].</w:t>
      </w:r>
    </w:p>
    <w:p w14:paraId="33DD811C" w14:textId="77777777" w:rsidR="00152D3F" w:rsidRPr="00152D3F" w:rsidRDefault="00152D3F" w:rsidP="00152D3F">
      <w:pPr>
        <w:spacing w:after="0" w:line="276" w:lineRule="auto"/>
        <w:ind w:firstLine="567"/>
        <w:jc w:val="both"/>
        <w:rPr>
          <w:color w:val="000000"/>
          <w:lang w:val="zh-CN"/>
        </w:rPr>
      </w:pPr>
      <w:r w:rsidRPr="00152D3F">
        <w:rPr>
          <w:color w:val="000000"/>
          <w:lang w:val="zh-CN"/>
        </w:rPr>
        <w:t>Banana occupies a particularly dominant position because it is widely cultivated across many regions and consumed by households throughout Indonesia [1]. Mango and orange also show strong production performance, indicating their importance in the national fruit supply system [6], [20]. These fruit commodities contribute not only to household consumption but also to agroindustry, domestic trade, processing industries, and export opportunities [5], [9], [18]. Therefore, fruit-based horticultural commodities can be viewed as important assets for strengthening agricultural diversification, increasing farmers' income, and promoting rural economic development [3], [17], [20].</w:t>
      </w:r>
    </w:p>
    <w:p w14:paraId="53AEE39D" w14:textId="77777777" w:rsidR="00152D3F" w:rsidRPr="00152D3F" w:rsidRDefault="00152D3F" w:rsidP="00152D3F">
      <w:pPr>
        <w:spacing w:after="0" w:line="276" w:lineRule="auto"/>
        <w:ind w:firstLine="567"/>
        <w:jc w:val="both"/>
        <w:rPr>
          <w:color w:val="000000"/>
          <w:lang w:val="zh-CN"/>
        </w:rPr>
      </w:pPr>
      <w:r w:rsidRPr="00152D3F">
        <w:rPr>
          <w:color w:val="000000"/>
          <w:lang w:val="zh-CN"/>
        </w:rPr>
        <w:t>Meanwhile, vegetable commodities such as shallot, cayenne pepper, big chili, potato, and tomato remain strategically important despite having lower production volumes than major fruit commodities [1]. Shallot and chili are especially significant because they are widely used in daily household cooking and frequently influence food expenditure and inflation [15], [16]. Their production stability is therefore essential for maintaining market availability, stabilizing prices, and ensuring food accessibility [3], [17]. Consequently, these commodities require continuous attention in agricultural planning, particularly regarding seasonal production management, logistics, and supply chain efficiency [11], [15], [19].</w:t>
      </w:r>
    </w:p>
    <w:p w14:paraId="775EF312" w14:textId="77777777" w:rsidR="00152D3F" w:rsidRPr="00152D3F" w:rsidRDefault="00152D3F" w:rsidP="00152D3F">
      <w:pPr>
        <w:spacing w:after="0" w:line="276" w:lineRule="auto"/>
        <w:ind w:firstLine="567"/>
        <w:jc w:val="both"/>
        <w:rPr>
          <w:color w:val="000000"/>
          <w:lang w:val="zh-CN"/>
        </w:rPr>
      </w:pPr>
      <w:r w:rsidRPr="00152D3F">
        <w:rPr>
          <w:color w:val="000000"/>
          <w:lang w:val="zh-CN"/>
        </w:rPr>
        <w:t xml:space="preserve">Garlic showed a different pattern compared with other commodities analyzed in this study [1]. Although household consumption reached </w:t>
      </w:r>
      <w:r w:rsidRPr="00152D3F">
        <w:rPr>
          <w:bCs/>
          <w:color w:val="000000"/>
          <w:lang w:val="zh-CN"/>
        </w:rPr>
        <w:t>544.37 thousand tons</w:t>
      </w:r>
      <w:r w:rsidRPr="00152D3F">
        <w:rPr>
          <w:color w:val="000000"/>
          <w:lang w:val="zh-CN"/>
        </w:rPr>
        <w:t xml:space="preserve">, domestic production was only </w:t>
      </w:r>
      <w:r w:rsidRPr="00152D3F">
        <w:rPr>
          <w:bCs/>
          <w:color w:val="000000"/>
          <w:lang w:val="zh-CN"/>
        </w:rPr>
        <w:t>39.44 thousand tons</w:t>
      </w:r>
      <w:r w:rsidRPr="00152D3F">
        <w:rPr>
          <w:color w:val="000000"/>
          <w:lang w:val="zh-CN"/>
        </w:rPr>
        <w:t xml:space="preserve">, resulting in a negative production-consumption gap of </w:t>
      </w:r>
      <w:r w:rsidRPr="00152D3F">
        <w:rPr>
          <w:bCs/>
          <w:color w:val="000000"/>
          <w:lang w:val="zh-CN"/>
        </w:rPr>
        <w:t>504.93 thousand tons</w:t>
      </w:r>
      <w:r w:rsidRPr="00152D3F">
        <w:rPr>
          <w:color w:val="000000"/>
          <w:lang w:val="zh-CN"/>
        </w:rPr>
        <w:t xml:space="preserve"> [1]. This finding indicates that domestic garlic production remains insufficient to satisfy national demand and that Indonesia continues to rely heavily on imported garlic [14], [17]. Therefore, garlic represents one of the most structurally vulnerable horticultural commodities and requires stronger policy intervention to improve domestic production capacity, productivity, and supply chain resilience [3], [14].</w:t>
      </w:r>
    </w:p>
    <w:p w14:paraId="62A49222" w14:textId="3DBC6682" w:rsidR="00152D3F" w:rsidRPr="00152D3F" w:rsidRDefault="00152D3F" w:rsidP="002E2B34">
      <w:pPr>
        <w:spacing w:before="120" w:after="0" w:line="276" w:lineRule="auto"/>
        <w:jc w:val="both"/>
        <w:rPr>
          <w:b/>
          <w:color w:val="000000"/>
          <w:lang w:val="en-US"/>
        </w:rPr>
      </w:pPr>
      <w:r w:rsidRPr="00152D3F">
        <w:rPr>
          <w:b/>
          <w:color w:val="000000"/>
          <w:lang w:val="en-US"/>
        </w:rPr>
        <w:t>3.3 Production-Consumption Gap</w:t>
      </w:r>
    </w:p>
    <w:p w14:paraId="5E870C73" w14:textId="77777777" w:rsidR="00152D3F" w:rsidRPr="00152D3F" w:rsidRDefault="00152D3F" w:rsidP="00152D3F">
      <w:pPr>
        <w:spacing w:after="0" w:line="276" w:lineRule="auto"/>
        <w:ind w:firstLine="567"/>
        <w:jc w:val="both"/>
        <w:rPr>
          <w:color w:val="000000"/>
          <w:lang w:val="zh-CN"/>
        </w:rPr>
      </w:pPr>
      <w:r w:rsidRPr="00152D3F">
        <w:rPr>
          <w:color w:val="000000"/>
          <w:lang w:val="zh-CN"/>
        </w:rPr>
        <w:t>The production-consumption gap analysis shows substantial differences among selected strategic horticultural commodities in Indonesia [1]. A positive gap indicates that domestic production exceeds household consumption, while a negative gap indicates that household consumption is greater than domestic production [10], [19]. In this study, most commodities showed positive gaps, suggesting that their production levels were sufficient to meet household consumption needs [1]. However, the size of the production-consumption gap varied considerably across commodities, reflecting differences in production capacity, market demand, and commodity utilization [5], [17].</w:t>
      </w:r>
    </w:p>
    <w:p w14:paraId="7DF57968" w14:textId="77777777" w:rsidR="00152D3F" w:rsidRPr="00152D3F" w:rsidRDefault="00152D3F" w:rsidP="00152D3F">
      <w:pPr>
        <w:spacing w:after="0" w:line="276" w:lineRule="auto"/>
        <w:ind w:firstLine="567"/>
        <w:jc w:val="both"/>
        <w:rPr>
          <w:color w:val="000000"/>
          <w:lang w:val="zh-CN"/>
        </w:rPr>
      </w:pPr>
      <w:r w:rsidRPr="00152D3F">
        <w:rPr>
          <w:color w:val="000000"/>
          <w:lang w:val="zh-CN"/>
        </w:rPr>
        <w:t xml:space="preserve">The largest positive gap was observed in banana, with production exceeding household consumption by </w:t>
      </w:r>
      <w:r w:rsidRPr="00152D3F">
        <w:rPr>
          <w:bCs/>
          <w:color w:val="000000"/>
          <w:lang w:val="zh-CN"/>
        </w:rPr>
        <w:t>7,440 thousand tons</w:t>
      </w:r>
      <w:r w:rsidRPr="00152D3F">
        <w:rPr>
          <w:color w:val="000000"/>
          <w:lang w:val="zh-CN"/>
        </w:rPr>
        <w:t xml:space="preserve"> [1]. Mango also recorded a high positive gap of </w:t>
      </w:r>
      <w:r w:rsidRPr="00152D3F">
        <w:rPr>
          <w:bCs/>
          <w:color w:val="000000"/>
          <w:lang w:val="zh-CN"/>
        </w:rPr>
        <w:t>3,093.31 thousand tons</w:t>
      </w:r>
      <w:r w:rsidRPr="00152D3F">
        <w:rPr>
          <w:color w:val="000000"/>
          <w:lang w:val="zh-CN"/>
        </w:rPr>
        <w:t xml:space="preserve">, followed by orange with </w:t>
      </w:r>
      <w:r w:rsidRPr="00152D3F">
        <w:rPr>
          <w:bCs/>
          <w:color w:val="000000"/>
          <w:lang w:val="zh-CN"/>
        </w:rPr>
        <w:t>1,599.25 thousand tons</w:t>
      </w:r>
      <w:r w:rsidRPr="00152D3F">
        <w:rPr>
          <w:color w:val="000000"/>
          <w:lang w:val="zh-CN"/>
        </w:rPr>
        <w:t xml:space="preserve"> and shallot with </w:t>
      </w:r>
      <w:r w:rsidRPr="00152D3F">
        <w:rPr>
          <w:bCs/>
          <w:color w:val="000000"/>
          <w:lang w:val="zh-CN"/>
        </w:rPr>
        <w:t>1,282 thousand tons</w:t>
      </w:r>
      <w:r w:rsidRPr="00152D3F">
        <w:rPr>
          <w:color w:val="000000"/>
          <w:lang w:val="zh-CN"/>
        </w:rPr>
        <w:t xml:space="preserve"> [1]. These large positive gaps indicate that these commodities possess strong domestic production capacity beyond household consumption and therefore have considerable potential for processing industries, interregional trade, export development, and broader domestic market expansion [9], [18], [20]. Such production advantages may contribute to increasing farmers' income and strengthening the competitiveness of Indonesia’s horticultural sector [11], [17].</w:t>
      </w:r>
    </w:p>
    <w:p w14:paraId="4D3F7E9F" w14:textId="77777777" w:rsidR="00152D3F" w:rsidRPr="002E2B34" w:rsidRDefault="00152D3F" w:rsidP="00152D3F">
      <w:pPr>
        <w:spacing w:after="0" w:line="276" w:lineRule="auto"/>
        <w:ind w:firstLine="567"/>
        <w:jc w:val="both"/>
        <w:rPr>
          <w:color w:val="000000"/>
          <w:spacing w:val="-4"/>
          <w:lang w:val="zh-CN"/>
        </w:rPr>
      </w:pPr>
      <w:r w:rsidRPr="002E2B34">
        <w:rPr>
          <w:color w:val="000000"/>
          <w:spacing w:val="-4"/>
          <w:lang w:val="zh-CN"/>
        </w:rPr>
        <w:t>Positive production-consumption gaps were also found in cayenne pepper, big chili, potato, tomato, carrot, and durian [1]. This suggests that these commodities contributed positively to domestic food availability during 2024 and helped strengthen the national food supply [5], [17]. Nevertheless, a positive production-consumption gap does not automatically indicate oversupply because household consumption represents only one component of total demand [18], [19]. Other forms of demand include restaurants, hotels, catering services, food processing industries, exports, seed use, and postharvest losses, all of which absorb substantial portions of total production [9], [18].</w:t>
      </w:r>
    </w:p>
    <w:p w14:paraId="4B15C9EB" w14:textId="118214ED" w:rsidR="006D00C2" w:rsidRPr="00152D3F" w:rsidRDefault="00152D3F" w:rsidP="00152D3F">
      <w:pPr>
        <w:spacing w:after="0" w:line="276" w:lineRule="auto"/>
        <w:ind w:firstLine="567"/>
        <w:jc w:val="both"/>
        <w:rPr>
          <w:color w:val="000000"/>
        </w:rPr>
      </w:pPr>
      <w:r w:rsidRPr="00152D3F">
        <w:rPr>
          <w:color w:val="000000"/>
          <w:lang w:val="en-US"/>
        </w:rPr>
        <w:t xml:space="preserve">In contrast, garlic recorded a negative production-consumption gap, indicating that household consumption was much higher than domestic production [1]. Household garlic consumption reached </w:t>
      </w:r>
      <w:r w:rsidRPr="00152D3F">
        <w:rPr>
          <w:bCs/>
          <w:color w:val="000000"/>
          <w:lang w:val="en-US"/>
        </w:rPr>
        <w:t>544.37 thousand tons</w:t>
      </w:r>
      <w:r w:rsidRPr="00152D3F">
        <w:rPr>
          <w:color w:val="000000"/>
          <w:lang w:val="en-US"/>
        </w:rPr>
        <w:t xml:space="preserve">, while domestic production was only </w:t>
      </w:r>
      <w:r w:rsidRPr="00152D3F">
        <w:rPr>
          <w:bCs/>
          <w:color w:val="000000"/>
          <w:lang w:val="en-US"/>
        </w:rPr>
        <w:t>39.44 thousand tons</w:t>
      </w:r>
      <w:r w:rsidRPr="00152D3F">
        <w:rPr>
          <w:color w:val="000000"/>
          <w:lang w:val="en-US"/>
        </w:rPr>
        <w:t xml:space="preserve">, resulting in a deficit of </w:t>
      </w:r>
      <w:r w:rsidRPr="00152D3F">
        <w:rPr>
          <w:bCs/>
          <w:color w:val="000000"/>
          <w:lang w:val="en-US"/>
        </w:rPr>
        <w:t>504.93 thousand tons</w:t>
      </w:r>
      <w:r w:rsidRPr="00152D3F">
        <w:rPr>
          <w:color w:val="000000"/>
          <w:lang w:val="en-US"/>
        </w:rPr>
        <w:t xml:space="preserve"> [1]. This condition suggests a strong dependence on external supply or imports to satisfy domestic demand and exposes the domestic market to global price fluctuations and supply chain disruptions [14], [17]. Therefore, garlic requires special policy attention through productivity improvement, expansion of suitable planting areas, improved seed availability, farmer incentives, technological innovation, and strengthening of domestic supply chains to reduce import dependency [3], [14], [17]</w:t>
      </w:r>
    </w:p>
    <w:p w14:paraId="49568EFD" w14:textId="4A9E84A6" w:rsidR="00725453" w:rsidRPr="003D07C2" w:rsidRDefault="006C077A" w:rsidP="003D07C2">
      <w:pPr>
        <w:pStyle w:val="ListParagraph"/>
        <w:numPr>
          <w:ilvl w:val="0"/>
          <w:numId w:val="8"/>
        </w:numPr>
        <w:spacing w:before="240" w:line="276" w:lineRule="auto"/>
        <w:jc w:val="both"/>
        <w:rPr>
          <w:b/>
          <w:bCs/>
          <w:color w:val="000000"/>
        </w:rPr>
      </w:pPr>
      <w:r w:rsidRPr="00036098">
        <w:rPr>
          <w:b/>
          <w:bCs/>
          <w:color w:val="000000"/>
        </w:rPr>
        <w:t>Discussion</w:t>
      </w:r>
    </w:p>
    <w:p w14:paraId="72B28FDE" w14:textId="77777777" w:rsidR="00152D3F" w:rsidRPr="00152D3F" w:rsidRDefault="00152D3F" w:rsidP="00152D3F">
      <w:pPr>
        <w:spacing w:after="0" w:line="276" w:lineRule="auto"/>
        <w:ind w:firstLine="567"/>
        <w:jc w:val="both"/>
        <w:rPr>
          <w:rFonts w:eastAsiaTheme="minorEastAsia"/>
          <w:color w:val="000000"/>
          <w:lang w:val="zh-CN" w:eastAsia="zh-CN"/>
        </w:rPr>
      </w:pPr>
      <w:r w:rsidRPr="00152D3F">
        <w:rPr>
          <w:rFonts w:eastAsiaTheme="minorEastAsia"/>
          <w:color w:val="000000"/>
          <w:lang w:val="zh-CN" w:eastAsia="zh-CN"/>
        </w:rPr>
        <w:t>The findings show that Indonesia’s horticultural production system is characterized by strong performance in several fruit and vegetable commodities [1], [3]. Banana, mango, orange, shallot, chili, potato, and tomato recorded production levels that exceeded household consumption, indicating relatively high domestic production capacity [1]. This condition suggests that Indonesia possesses considerable potential to meet domestic demand for these commodities while maintaining sufficient production for other market channels [5], [6]. The dominance of these commodities also reflects favorable agroecological conditions, extensive cultivation areas, and well-established production systems across different regions of Indonesia [6], [9], [20]. Consequently, these strategic commodities play an important role in strengthening national food availability, supporting farmer livelihoods, and enhancing the contribution of the horticultural sector to agricultural economic development [3], [5], [17].</w:t>
      </w:r>
    </w:p>
    <w:p w14:paraId="47461994" w14:textId="77777777" w:rsidR="00152D3F" w:rsidRPr="002E2B34" w:rsidRDefault="00152D3F" w:rsidP="00152D3F">
      <w:pPr>
        <w:spacing w:after="0" w:line="276" w:lineRule="auto"/>
        <w:ind w:firstLine="567"/>
        <w:jc w:val="both"/>
        <w:rPr>
          <w:rFonts w:eastAsiaTheme="minorEastAsia"/>
          <w:color w:val="000000"/>
          <w:spacing w:val="-2"/>
          <w:lang w:val="zh-CN" w:eastAsia="zh-CN"/>
        </w:rPr>
      </w:pPr>
      <w:r w:rsidRPr="002E2B34">
        <w:rPr>
          <w:rFonts w:eastAsiaTheme="minorEastAsia"/>
          <w:color w:val="000000"/>
          <w:spacing w:val="-2"/>
          <w:lang w:val="zh-CN" w:eastAsia="zh-CN"/>
        </w:rPr>
        <w:t>However, production surplus should not be interpreted solely as an indication of excess supply [10], [19]. Household consumption represents only one component of total commodity utilization, while substantial proportions of horticultural production are absorbed by restaurants, hotels, catering services, food processing industries, traditional markets, modern retail, and export activities [18], [19]. In addition, some commodities are allocated for seed production, postharvest storage, processing, and distribution across regions before reaching final consumers [18]. Therefore, a positive production-consumption gap should be interpreted as evidence of broader economic utilization and market opportunities rather than simply indicating surplus production [9], [19]. This finding demonstrates that the horticultural sector contributes not only to food availability but also to value-added industries, employment generation, and regional economic growth [6], [18], [20].</w:t>
      </w:r>
    </w:p>
    <w:p w14:paraId="67502C30" w14:textId="77777777" w:rsidR="00152D3F" w:rsidRPr="00152D3F" w:rsidRDefault="00152D3F" w:rsidP="00152D3F">
      <w:pPr>
        <w:spacing w:after="0" w:line="276" w:lineRule="auto"/>
        <w:ind w:firstLine="567"/>
        <w:jc w:val="both"/>
        <w:rPr>
          <w:rFonts w:eastAsiaTheme="minorEastAsia"/>
          <w:color w:val="000000"/>
          <w:lang w:val="zh-CN" w:eastAsia="zh-CN"/>
        </w:rPr>
      </w:pPr>
      <w:r w:rsidRPr="00152D3F">
        <w:rPr>
          <w:rFonts w:eastAsiaTheme="minorEastAsia"/>
          <w:color w:val="000000"/>
          <w:lang w:val="zh-CN" w:eastAsia="zh-CN"/>
        </w:rPr>
        <w:t>Garlic represents the most critical commodity identified in this analysis because its domestic production remains substantially lower than household consumption [1]. The large negative production-consumption gap indicates that Indonesia continues to depend heavily on imported garlic to satisfy domestic demand throughout the year [14]. Such dependence exposes the domestic market to fluctuations in international prices, exchange rate movements, trade policy changes, and disruptions in global supply chains [7], [9], [14]. This condition may reduce national food resilience, particularly when external market conditions become unstable or import restrictions occur [5], [17]. Therefore, strengthening domestic garlic production through productivity improvement, expansion of suitable cultivation areas, provision of high-quality planting materials, and stronger farmer support programs should become one of the priorities of Indonesia’s horticultural development strategy [3], [4], [14].</w:t>
      </w:r>
    </w:p>
    <w:p w14:paraId="3EE24220" w14:textId="09BC1D16" w:rsidR="00152D3F" w:rsidRPr="00152D3F" w:rsidRDefault="00152D3F" w:rsidP="00152D3F">
      <w:pPr>
        <w:spacing w:after="0" w:line="276" w:lineRule="auto"/>
        <w:ind w:firstLine="567"/>
        <w:jc w:val="both"/>
        <w:rPr>
          <w:rFonts w:eastAsiaTheme="minorEastAsia"/>
          <w:color w:val="000000"/>
          <w:lang w:val="zh-CN" w:eastAsia="zh-CN"/>
        </w:rPr>
      </w:pPr>
      <w:r w:rsidRPr="00152D3F">
        <w:rPr>
          <w:rFonts w:eastAsiaTheme="minorEastAsia"/>
          <w:color w:val="000000"/>
          <w:lang w:val="en-US" w:eastAsia="zh-CN"/>
        </w:rPr>
        <w:t>The results also emphasize the importance of promoting food diversification through sustainable horticultural development [5], [17], [20]. Fruit commodities such as banana, mango, orange, and durian contribute not only to household food consumption but also to nutritional improvement, agroindustrial development, and export potential [6], [9], [20]. Likewise, vegetable commodities including shallot, chili, tomato, carrot, and potato play essential roles in supporting balanced diets, culinary industries, and food market stability [3], [11], [15]. Sustainable development of these commodities requires continuous improvements in production technology, irrigation systems, postharvest handling, logistics, and market distribution to reduce production losses and improve product quality [18], [19]. Therefore, a comprehensive horticultural development strategy should integrate productivity enhancement, supply chain efficiency, value-added processing, and market competitiveness to strengthen Indonesia's food security and long-term agricultural sustainability [5], [9], [17]</w:t>
      </w:r>
    </w:p>
    <w:p w14:paraId="5D2E4878" w14:textId="613EFB61" w:rsidR="005677D4" w:rsidRPr="00036098" w:rsidRDefault="0014600A" w:rsidP="00036098">
      <w:pPr>
        <w:pStyle w:val="ListParagraph"/>
        <w:numPr>
          <w:ilvl w:val="0"/>
          <w:numId w:val="8"/>
        </w:numPr>
        <w:spacing w:before="240" w:line="276" w:lineRule="auto"/>
        <w:jc w:val="both"/>
        <w:rPr>
          <w:b/>
          <w:bCs/>
          <w:color w:val="000000"/>
        </w:rPr>
      </w:pPr>
      <w:r w:rsidRPr="00036098">
        <w:rPr>
          <w:b/>
          <w:bCs/>
          <w:color w:val="000000"/>
        </w:rPr>
        <w:t>Conclusion</w:t>
      </w:r>
    </w:p>
    <w:p w14:paraId="4296E23A" w14:textId="77777777" w:rsidR="00152D3F" w:rsidRPr="002E2B34" w:rsidRDefault="00152D3F" w:rsidP="00152D3F">
      <w:pPr>
        <w:spacing w:after="0" w:line="276" w:lineRule="auto"/>
        <w:ind w:firstLine="567"/>
        <w:jc w:val="both"/>
        <w:rPr>
          <w:color w:val="000000"/>
          <w:spacing w:val="-2"/>
          <w:lang w:val="zh-CN"/>
        </w:rPr>
      </w:pPr>
      <w:r w:rsidRPr="002E2B34">
        <w:rPr>
          <w:color w:val="000000"/>
          <w:spacing w:val="-2"/>
          <w:lang w:val="zh-CN"/>
        </w:rPr>
        <w:t xml:space="preserve">This study analyzed the production and household consumption dynamics of selected strategic horticultural commodities in Indonesia using </w:t>
      </w:r>
      <w:r w:rsidRPr="002E2B34">
        <w:rPr>
          <w:i/>
          <w:iCs/>
          <w:color w:val="000000"/>
          <w:spacing w:val="-2"/>
          <w:lang w:val="zh-CN"/>
        </w:rPr>
        <w:t>Statistics of Horticulture 2024</w:t>
      </w:r>
      <w:r w:rsidRPr="002E2B34">
        <w:rPr>
          <w:color w:val="000000"/>
          <w:spacing w:val="-2"/>
          <w:lang w:val="zh-CN"/>
        </w:rPr>
        <w:t xml:space="preserve"> [1]. The analysis focused on major vegetable and fruit commodities, including shallot, garlic, big chili, cayenne pepper, potato, tomato, carrot, banana, durian, orange, and mango. The findings show that most of the selected commodities had production levels higher than household consumption in 2024 [1]. This indicates that Indonesia’s horticultural sector has relatively strong production capacity for several strategic commodities and contributes significantly to national food availability [3], [5].</w:t>
      </w:r>
    </w:p>
    <w:p w14:paraId="317198D9" w14:textId="77777777" w:rsidR="00152D3F" w:rsidRPr="00152D3F" w:rsidRDefault="00152D3F" w:rsidP="00152D3F">
      <w:pPr>
        <w:spacing w:after="0" w:line="276" w:lineRule="auto"/>
        <w:ind w:firstLine="567"/>
        <w:jc w:val="both"/>
        <w:rPr>
          <w:color w:val="000000"/>
          <w:lang w:val="zh-CN"/>
        </w:rPr>
      </w:pPr>
      <w:r w:rsidRPr="00152D3F">
        <w:rPr>
          <w:color w:val="000000"/>
          <w:lang w:val="zh-CN"/>
        </w:rPr>
        <w:t xml:space="preserve">Banana was identified as the most dominant commodity, with production reaching </w:t>
      </w:r>
      <w:r w:rsidRPr="00152D3F">
        <w:rPr>
          <w:bCs/>
          <w:color w:val="000000"/>
          <w:lang w:val="zh-CN"/>
        </w:rPr>
        <w:t>9.26 million tons</w:t>
      </w:r>
      <w:r w:rsidRPr="00152D3F">
        <w:rPr>
          <w:color w:val="000000"/>
          <w:lang w:val="zh-CN"/>
        </w:rPr>
        <w:t xml:space="preserve"> in 2024 [1]. Other fruit commodities such as mango, orange, and durian also showed strong production performance compared with household consumption [1]. These findings suggest that tropical fruits represent an important strength of Indonesia’s horticultural sector and have high potential for sustainable agricultural development [6], [20]. The high production of these commodities also indicates opportunities for agroindustry, interregional trade, export development, and broader market expansion [9], [18].</w:t>
      </w:r>
    </w:p>
    <w:p w14:paraId="6E018523" w14:textId="77777777" w:rsidR="00152D3F" w:rsidRPr="002E2B34" w:rsidRDefault="00152D3F" w:rsidP="00152D3F">
      <w:pPr>
        <w:spacing w:after="0" w:line="276" w:lineRule="auto"/>
        <w:ind w:firstLine="567"/>
        <w:jc w:val="both"/>
        <w:rPr>
          <w:color w:val="000000"/>
          <w:spacing w:val="-2"/>
          <w:lang w:val="zh-CN"/>
        </w:rPr>
      </w:pPr>
      <w:r w:rsidRPr="002E2B34">
        <w:rPr>
          <w:color w:val="000000"/>
          <w:spacing w:val="-2"/>
          <w:lang w:val="zh-CN"/>
        </w:rPr>
        <w:t>Among vegetable commodities, shallot, cayenne pepper, big chili, potato, tomato, and carrot recorded positive production-consumption gaps [1]. This suggests that domestic production of these commodities was sufficient to meet household consumption needs in 2024. However, positive gaps should not be interpreted only as excess supply because these commodities are also utilized by food industries, restaurants, traders, processing sectors, and export markets [18], [19]. Therefore, strengthening postharvest handling, logistics, and market distribution remains important to maintain product quality, improve efficiency, and reduce postharvest losses [18], [19].</w:t>
      </w:r>
    </w:p>
    <w:p w14:paraId="4B5D746B" w14:textId="77777777" w:rsidR="00152D3F" w:rsidRPr="00152D3F" w:rsidRDefault="00152D3F" w:rsidP="00152D3F">
      <w:pPr>
        <w:spacing w:after="0" w:line="276" w:lineRule="auto"/>
        <w:ind w:firstLine="567"/>
        <w:jc w:val="both"/>
        <w:rPr>
          <w:color w:val="000000"/>
          <w:lang w:val="zh-CN"/>
        </w:rPr>
      </w:pPr>
      <w:r w:rsidRPr="00152D3F">
        <w:rPr>
          <w:color w:val="000000"/>
          <w:lang w:val="zh-CN"/>
        </w:rPr>
        <w:t xml:space="preserve">Garlic was the only commodity in the analysis that recorded a negative production-consumption gap [1]. Domestic garlic production reached only </w:t>
      </w:r>
      <w:r w:rsidRPr="00152D3F">
        <w:rPr>
          <w:bCs/>
          <w:color w:val="000000"/>
          <w:lang w:val="zh-CN"/>
        </w:rPr>
        <w:t>39.44 thousand tons</w:t>
      </w:r>
      <w:r w:rsidRPr="00152D3F">
        <w:rPr>
          <w:color w:val="000000"/>
          <w:lang w:val="zh-CN"/>
        </w:rPr>
        <w:t xml:space="preserve">, while household consumption reached </w:t>
      </w:r>
      <w:r w:rsidRPr="00152D3F">
        <w:rPr>
          <w:bCs/>
          <w:color w:val="000000"/>
          <w:lang w:val="zh-CN"/>
        </w:rPr>
        <w:t>544.37 thousand tons</w:t>
      </w:r>
      <w:r w:rsidRPr="00152D3F">
        <w:rPr>
          <w:color w:val="000000"/>
          <w:lang w:val="zh-CN"/>
        </w:rPr>
        <w:t>, indicating a substantial production deficit [1]. This finding suggests that Indonesia remains highly dependent on imported garlic to satisfy domestic demand, making the commodity vulnerable to external market disruptions [14], [17]. Therefore, stronger garlic development policies are needed, including productivity improvement, suitable land expansion, improved seed availability, technological innovation, and farmer support programs to reduce long-term import dependency [3], [4], [14].</w:t>
      </w:r>
    </w:p>
    <w:p w14:paraId="7EACEA59" w14:textId="5B480B81" w:rsidR="00152D3F" w:rsidRPr="005677D4" w:rsidRDefault="00152D3F" w:rsidP="00152D3F">
      <w:pPr>
        <w:spacing w:after="0" w:line="276" w:lineRule="auto"/>
        <w:ind w:firstLine="567"/>
        <w:jc w:val="both"/>
        <w:rPr>
          <w:color w:val="000000"/>
        </w:rPr>
      </w:pPr>
      <w:r w:rsidRPr="00152D3F">
        <w:rPr>
          <w:color w:val="000000"/>
          <w:lang w:val="en-US"/>
        </w:rPr>
        <w:t>Overall, Indonesia’s horticultural sector shows strong potential in several strategic commodities, particularly tropical fruits and selected vegetables [5], [20]. However, challenges remain in ensuring balanced production, reducing import dependency, improving commodity resilience, and strengthening supply chain efficiency [7], [17], [19]. Future policy should prioritize productivity improvement, commodity-specific development strategies, postharvest management, and market distribution efficiency to enhance the competitiveness of Indonesian horticulture [3], [18], [19]. These efforts are essential to strengthen Indonesia’s horticultural food system, improve agricultural sustainability, and support long-term national food security [5], [17], [20].</w:t>
      </w:r>
    </w:p>
    <w:p w14:paraId="764C9581" w14:textId="486B5199" w:rsidR="006C077A" w:rsidRPr="00072788" w:rsidRDefault="006C077A" w:rsidP="00036098">
      <w:pPr>
        <w:spacing w:before="240" w:line="276" w:lineRule="auto"/>
        <w:jc w:val="both"/>
        <w:rPr>
          <w:b/>
          <w:bCs/>
          <w:color w:val="000000"/>
        </w:rPr>
      </w:pPr>
      <w:r w:rsidRPr="00072788">
        <w:rPr>
          <w:b/>
          <w:bCs/>
          <w:color w:val="000000"/>
        </w:rPr>
        <w:t>References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3"/>
        <w:gridCol w:w="8501"/>
      </w:tblGrid>
      <w:tr w:rsidR="002E2B34" w:rsidRPr="002E2B34" w14:paraId="06BA9236" w14:textId="77777777" w:rsidTr="002E2B34">
        <w:trPr>
          <w:tblCellSpacing w:w="15" w:type="dxa"/>
        </w:trPr>
        <w:tc>
          <w:tcPr>
            <w:tcW w:w="0" w:type="auto"/>
            <w:hideMark/>
          </w:tcPr>
          <w:p w14:paraId="5460FAC0" w14:textId="77777777" w:rsidR="002E2B34" w:rsidRPr="002E2B34" w:rsidRDefault="002E2B34" w:rsidP="002E2B34">
            <w:pPr>
              <w:spacing w:after="0" w:line="276" w:lineRule="auto"/>
              <w:ind w:left="567" w:hanging="567"/>
              <w:rPr>
                <w:lang w:val="en-US"/>
              </w:rPr>
            </w:pPr>
            <w:r w:rsidRPr="002E2B34">
              <w:rPr>
                <w:bCs/>
                <w:lang w:val="en-US"/>
              </w:rPr>
              <w:t>[1]</w:t>
            </w:r>
          </w:p>
        </w:tc>
        <w:tc>
          <w:tcPr>
            <w:tcW w:w="0" w:type="auto"/>
            <w:hideMark/>
          </w:tcPr>
          <w:p w14:paraId="2780794F" w14:textId="77777777" w:rsidR="002E2B34" w:rsidRPr="002E2B34" w:rsidRDefault="002E2B34" w:rsidP="002E2B34">
            <w:pPr>
              <w:spacing w:after="0" w:line="276" w:lineRule="auto"/>
              <w:ind w:left="9"/>
              <w:jc w:val="both"/>
              <w:rPr>
                <w:lang w:val="en-US"/>
              </w:rPr>
            </w:pPr>
            <w:r w:rsidRPr="002E2B34">
              <w:rPr>
                <w:lang w:val="en-US"/>
              </w:rPr>
              <w:t xml:space="preserve">BPS-Statistics Indonesia, </w:t>
            </w:r>
            <w:r w:rsidRPr="002E2B34">
              <w:rPr>
                <w:i/>
                <w:iCs/>
                <w:lang w:val="en-US"/>
              </w:rPr>
              <w:t>Statistics of Horticulture 2024</w:t>
            </w:r>
            <w:r w:rsidRPr="002E2B34">
              <w:rPr>
                <w:lang w:val="en-US"/>
              </w:rPr>
              <w:t>. Jakarta, Indonesia: BPS-Statistics Indonesia, 2025.</w:t>
            </w:r>
          </w:p>
        </w:tc>
      </w:tr>
      <w:tr w:rsidR="002E2B34" w:rsidRPr="002E2B34" w14:paraId="5EFB72FB" w14:textId="77777777" w:rsidTr="002E2B34">
        <w:trPr>
          <w:tblCellSpacing w:w="15" w:type="dxa"/>
        </w:trPr>
        <w:tc>
          <w:tcPr>
            <w:tcW w:w="0" w:type="auto"/>
            <w:hideMark/>
          </w:tcPr>
          <w:p w14:paraId="3E87D22C" w14:textId="77777777" w:rsidR="002E2B34" w:rsidRPr="002E2B34" w:rsidRDefault="002E2B34" w:rsidP="002E2B34">
            <w:pPr>
              <w:spacing w:after="0" w:line="276" w:lineRule="auto"/>
              <w:ind w:left="567" w:hanging="567"/>
              <w:rPr>
                <w:lang w:val="en-US"/>
              </w:rPr>
            </w:pPr>
            <w:r w:rsidRPr="002E2B34">
              <w:rPr>
                <w:bCs/>
                <w:lang w:val="en-US"/>
              </w:rPr>
              <w:t>[2]</w:t>
            </w:r>
          </w:p>
        </w:tc>
        <w:tc>
          <w:tcPr>
            <w:tcW w:w="0" w:type="auto"/>
            <w:hideMark/>
          </w:tcPr>
          <w:p w14:paraId="7B96B06E" w14:textId="77777777" w:rsidR="002E2B34" w:rsidRPr="002E2B34" w:rsidRDefault="002E2B34" w:rsidP="002E2B34">
            <w:pPr>
              <w:spacing w:after="0" w:line="276" w:lineRule="auto"/>
              <w:ind w:left="9"/>
              <w:jc w:val="both"/>
              <w:rPr>
                <w:lang w:val="en-US"/>
              </w:rPr>
            </w:pPr>
            <w:r w:rsidRPr="002E2B34">
              <w:rPr>
                <w:lang w:val="en-US"/>
              </w:rPr>
              <w:t xml:space="preserve">BPS-Statistics Indonesia, </w:t>
            </w:r>
            <w:r w:rsidRPr="002E2B34">
              <w:rPr>
                <w:i/>
                <w:iCs/>
                <w:lang w:val="en-US"/>
              </w:rPr>
              <w:t>Statistik Indonesia 2025</w:t>
            </w:r>
            <w:r w:rsidRPr="002E2B34">
              <w:rPr>
                <w:lang w:val="en-US"/>
              </w:rPr>
              <w:t>. Jakarta, Indonesia: BPS-Statistics Indonesia, 2025.</w:t>
            </w:r>
          </w:p>
        </w:tc>
      </w:tr>
      <w:tr w:rsidR="002E2B34" w:rsidRPr="002E2B34" w14:paraId="44E27ECE" w14:textId="77777777" w:rsidTr="002E2B34">
        <w:trPr>
          <w:tblCellSpacing w:w="15" w:type="dxa"/>
        </w:trPr>
        <w:tc>
          <w:tcPr>
            <w:tcW w:w="0" w:type="auto"/>
            <w:hideMark/>
          </w:tcPr>
          <w:p w14:paraId="6F76ED4F" w14:textId="77777777" w:rsidR="002E2B34" w:rsidRPr="002E2B34" w:rsidRDefault="002E2B34" w:rsidP="002E2B34">
            <w:pPr>
              <w:spacing w:after="0" w:line="276" w:lineRule="auto"/>
              <w:ind w:left="567" w:hanging="567"/>
              <w:rPr>
                <w:lang w:val="en-US"/>
              </w:rPr>
            </w:pPr>
            <w:r w:rsidRPr="002E2B34">
              <w:rPr>
                <w:bCs/>
                <w:lang w:val="en-US"/>
              </w:rPr>
              <w:t>[3]</w:t>
            </w:r>
          </w:p>
        </w:tc>
        <w:tc>
          <w:tcPr>
            <w:tcW w:w="0" w:type="auto"/>
            <w:hideMark/>
          </w:tcPr>
          <w:p w14:paraId="407ADFA4" w14:textId="77777777" w:rsidR="002E2B34" w:rsidRPr="002E2B34" w:rsidRDefault="002E2B34" w:rsidP="002E2B34">
            <w:pPr>
              <w:spacing w:after="0" w:line="276" w:lineRule="auto"/>
              <w:ind w:left="9"/>
              <w:jc w:val="both"/>
              <w:rPr>
                <w:lang w:val="en-US"/>
              </w:rPr>
            </w:pPr>
            <w:r w:rsidRPr="002E2B34">
              <w:rPr>
                <w:lang w:val="en-US"/>
              </w:rPr>
              <w:t xml:space="preserve">Ministry of Agriculture of the Republic of Indonesia, </w:t>
            </w:r>
            <w:r w:rsidRPr="002E2B34">
              <w:rPr>
                <w:i/>
                <w:iCs/>
                <w:lang w:val="en-US"/>
              </w:rPr>
              <w:t>Agricultural Statistics 2025</w:t>
            </w:r>
            <w:r w:rsidRPr="002E2B34">
              <w:rPr>
                <w:lang w:val="en-US"/>
              </w:rPr>
              <w:t>. Jakarta, Indonesia: Ministry of Agriculture, 2025.</w:t>
            </w:r>
          </w:p>
        </w:tc>
      </w:tr>
      <w:tr w:rsidR="002E2B34" w:rsidRPr="002E2B34" w14:paraId="3BDA2C9F" w14:textId="77777777" w:rsidTr="002E2B34">
        <w:trPr>
          <w:tblCellSpacing w:w="15" w:type="dxa"/>
        </w:trPr>
        <w:tc>
          <w:tcPr>
            <w:tcW w:w="0" w:type="auto"/>
            <w:hideMark/>
          </w:tcPr>
          <w:p w14:paraId="402771B6" w14:textId="77777777" w:rsidR="002E2B34" w:rsidRPr="002E2B34" w:rsidRDefault="002E2B34" w:rsidP="002E2B34">
            <w:pPr>
              <w:spacing w:after="0" w:line="276" w:lineRule="auto"/>
              <w:ind w:left="567" w:hanging="567"/>
              <w:rPr>
                <w:lang w:val="en-US"/>
              </w:rPr>
            </w:pPr>
            <w:r w:rsidRPr="002E2B34">
              <w:rPr>
                <w:bCs/>
                <w:lang w:val="en-US"/>
              </w:rPr>
              <w:t>[4]</w:t>
            </w:r>
          </w:p>
        </w:tc>
        <w:tc>
          <w:tcPr>
            <w:tcW w:w="0" w:type="auto"/>
            <w:hideMark/>
          </w:tcPr>
          <w:p w14:paraId="44423AE5" w14:textId="77777777" w:rsidR="002E2B34" w:rsidRPr="002E2B34" w:rsidRDefault="002E2B34" w:rsidP="002E2B34">
            <w:pPr>
              <w:spacing w:after="0" w:line="276" w:lineRule="auto"/>
              <w:ind w:left="9"/>
              <w:jc w:val="both"/>
              <w:rPr>
                <w:lang w:val="en-US"/>
              </w:rPr>
            </w:pPr>
            <w:r w:rsidRPr="002E2B34">
              <w:rPr>
                <w:lang w:val="en-US"/>
              </w:rPr>
              <w:t xml:space="preserve">Ministry of Agriculture of the Republic of Indonesia, </w:t>
            </w:r>
            <w:r w:rsidRPr="002E2B34">
              <w:rPr>
                <w:i/>
                <w:iCs/>
                <w:lang w:val="en-US"/>
              </w:rPr>
              <w:t>Strategic Plan of the Ministry of Agriculture 2020–2024</w:t>
            </w:r>
            <w:r w:rsidRPr="002E2B34">
              <w:rPr>
                <w:lang w:val="en-US"/>
              </w:rPr>
              <w:t>. Jakarta, Indonesia: Ministry of Agriculture, 2020.</w:t>
            </w:r>
          </w:p>
        </w:tc>
      </w:tr>
      <w:tr w:rsidR="002E2B34" w:rsidRPr="002E2B34" w14:paraId="5C6E1059" w14:textId="77777777" w:rsidTr="002E2B34">
        <w:trPr>
          <w:tblCellSpacing w:w="15" w:type="dxa"/>
        </w:trPr>
        <w:tc>
          <w:tcPr>
            <w:tcW w:w="0" w:type="auto"/>
            <w:hideMark/>
          </w:tcPr>
          <w:p w14:paraId="3BEEA9E7" w14:textId="77777777" w:rsidR="002E2B34" w:rsidRPr="002E2B34" w:rsidRDefault="002E2B34" w:rsidP="002E2B34">
            <w:pPr>
              <w:spacing w:after="0" w:line="276" w:lineRule="auto"/>
              <w:ind w:left="567" w:hanging="567"/>
              <w:rPr>
                <w:lang w:val="en-US"/>
              </w:rPr>
            </w:pPr>
            <w:r w:rsidRPr="002E2B34">
              <w:rPr>
                <w:bCs/>
                <w:lang w:val="en-US"/>
              </w:rPr>
              <w:t>[5]</w:t>
            </w:r>
          </w:p>
        </w:tc>
        <w:tc>
          <w:tcPr>
            <w:tcW w:w="0" w:type="auto"/>
            <w:hideMark/>
          </w:tcPr>
          <w:p w14:paraId="4DF8CA19" w14:textId="77777777" w:rsidR="002E2B34" w:rsidRPr="002E2B34" w:rsidRDefault="002E2B34" w:rsidP="002E2B34">
            <w:pPr>
              <w:spacing w:after="0" w:line="276" w:lineRule="auto"/>
              <w:ind w:left="9"/>
              <w:jc w:val="both"/>
              <w:rPr>
                <w:lang w:val="en-US"/>
              </w:rPr>
            </w:pPr>
            <w:r w:rsidRPr="002E2B34">
              <w:rPr>
                <w:lang w:val="en-US"/>
              </w:rPr>
              <w:t xml:space="preserve">Food and Agriculture Organization of the United Nations, </w:t>
            </w:r>
            <w:r w:rsidRPr="002E2B34">
              <w:rPr>
                <w:i/>
                <w:iCs/>
                <w:lang w:val="en-US"/>
              </w:rPr>
              <w:t>The State of Food Security and Nutrition in the World 2024</w:t>
            </w:r>
            <w:r w:rsidRPr="002E2B34">
              <w:rPr>
                <w:lang w:val="en-US"/>
              </w:rPr>
              <w:t>. Rome, Italy: FAO, 2024.</w:t>
            </w:r>
          </w:p>
        </w:tc>
      </w:tr>
      <w:tr w:rsidR="002E2B34" w:rsidRPr="002E2B34" w14:paraId="20211C34" w14:textId="77777777" w:rsidTr="002E2B34">
        <w:trPr>
          <w:tblCellSpacing w:w="15" w:type="dxa"/>
        </w:trPr>
        <w:tc>
          <w:tcPr>
            <w:tcW w:w="0" w:type="auto"/>
            <w:hideMark/>
          </w:tcPr>
          <w:p w14:paraId="05761C6C" w14:textId="77777777" w:rsidR="002E2B34" w:rsidRPr="002E2B34" w:rsidRDefault="002E2B34" w:rsidP="002E2B34">
            <w:pPr>
              <w:spacing w:after="0" w:line="276" w:lineRule="auto"/>
              <w:ind w:left="567" w:hanging="567"/>
              <w:rPr>
                <w:lang w:val="en-US"/>
              </w:rPr>
            </w:pPr>
            <w:r w:rsidRPr="002E2B34">
              <w:rPr>
                <w:bCs/>
                <w:lang w:val="en-US"/>
              </w:rPr>
              <w:t>[6]</w:t>
            </w:r>
          </w:p>
        </w:tc>
        <w:tc>
          <w:tcPr>
            <w:tcW w:w="0" w:type="auto"/>
            <w:hideMark/>
          </w:tcPr>
          <w:p w14:paraId="1F2D18E7" w14:textId="77777777" w:rsidR="002E2B34" w:rsidRPr="002E2B34" w:rsidRDefault="002E2B34" w:rsidP="002E2B34">
            <w:pPr>
              <w:spacing w:after="0" w:line="276" w:lineRule="auto"/>
              <w:ind w:left="9"/>
              <w:jc w:val="both"/>
              <w:rPr>
                <w:lang w:val="en-US"/>
              </w:rPr>
            </w:pPr>
            <w:r w:rsidRPr="002E2B34">
              <w:rPr>
                <w:lang w:val="en-US"/>
              </w:rPr>
              <w:t xml:space="preserve">Food and Agriculture Organization of the United Nations, </w:t>
            </w:r>
            <w:r w:rsidRPr="002E2B34">
              <w:rPr>
                <w:i/>
                <w:iCs/>
                <w:lang w:val="en-US"/>
              </w:rPr>
              <w:t>World Food and Agriculture: Statistical Yearbook 2024</w:t>
            </w:r>
            <w:r w:rsidRPr="002E2B34">
              <w:rPr>
                <w:lang w:val="en-US"/>
              </w:rPr>
              <w:t>. Rome, Italy: FAO, 2024.</w:t>
            </w:r>
          </w:p>
        </w:tc>
      </w:tr>
      <w:tr w:rsidR="002E2B34" w:rsidRPr="002E2B34" w14:paraId="7C3AF577" w14:textId="77777777" w:rsidTr="002E2B34">
        <w:trPr>
          <w:tblCellSpacing w:w="15" w:type="dxa"/>
        </w:trPr>
        <w:tc>
          <w:tcPr>
            <w:tcW w:w="0" w:type="auto"/>
            <w:hideMark/>
          </w:tcPr>
          <w:p w14:paraId="3143B8E7" w14:textId="77777777" w:rsidR="002E2B34" w:rsidRPr="002E2B34" w:rsidRDefault="002E2B34" w:rsidP="002E2B34">
            <w:pPr>
              <w:spacing w:after="0" w:line="276" w:lineRule="auto"/>
              <w:ind w:left="567" w:hanging="567"/>
              <w:rPr>
                <w:lang w:val="en-US"/>
              </w:rPr>
            </w:pPr>
            <w:r w:rsidRPr="002E2B34">
              <w:rPr>
                <w:bCs/>
                <w:lang w:val="en-US"/>
              </w:rPr>
              <w:t>[7]</w:t>
            </w:r>
          </w:p>
        </w:tc>
        <w:tc>
          <w:tcPr>
            <w:tcW w:w="0" w:type="auto"/>
            <w:hideMark/>
          </w:tcPr>
          <w:p w14:paraId="0E1950BC" w14:textId="77777777" w:rsidR="002E2B34" w:rsidRPr="002E2B34" w:rsidRDefault="002E2B34" w:rsidP="002E2B34">
            <w:pPr>
              <w:spacing w:after="0" w:line="276" w:lineRule="auto"/>
              <w:ind w:left="9"/>
              <w:jc w:val="both"/>
              <w:rPr>
                <w:lang w:val="en-US"/>
              </w:rPr>
            </w:pPr>
            <w:r w:rsidRPr="002E2B34">
              <w:rPr>
                <w:lang w:val="en-US"/>
              </w:rPr>
              <w:t xml:space="preserve">World Bank, </w:t>
            </w:r>
            <w:r w:rsidRPr="002E2B34">
              <w:rPr>
                <w:i/>
                <w:iCs/>
                <w:lang w:val="en-US"/>
              </w:rPr>
              <w:t>Indonesia Economic Prospects: Strengthening Resilience</w:t>
            </w:r>
            <w:r w:rsidRPr="002E2B34">
              <w:rPr>
                <w:lang w:val="en-US"/>
              </w:rPr>
              <w:t>. Washington, DC, USA: World Bank, 2024.</w:t>
            </w:r>
          </w:p>
        </w:tc>
      </w:tr>
      <w:tr w:rsidR="002E2B34" w:rsidRPr="002E2B34" w14:paraId="318629B2" w14:textId="77777777" w:rsidTr="002E2B34">
        <w:trPr>
          <w:tblCellSpacing w:w="15" w:type="dxa"/>
        </w:trPr>
        <w:tc>
          <w:tcPr>
            <w:tcW w:w="0" w:type="auto"/>
            <w:hideMark/>
          </w:tcPr>
          <w:p w14:paraId="7CE7C6C5" w14:textId="77777777" w:rsidR="002E2B34" w:rsidRPr="002E2B34" w:rsidRDefault="002E2B34" w:rsidP="002E2B34">
            <w:pPr>
              <w:spacing w:after="0" w:line="276" w:lineRule="auto"/>
              <w:ind w:left="567" w:hanging="567"/>
              <w:rPr>
                <w:lang w:val="en-US"/>
              </w:rPr>
            </w:pPr>
            <w:r w:rsidRPr="002E2B34">
              <w:rPr>
                <w:bCs/>
                <w:lang w:val="en-US"/>
              </w:rPr>
              <w:t>[8]</w:t>
            </w:r>
          </w:p>
        </w:tc>
        <w:tc>
          <w:tcPr>
            <w:tcW w:w="0" w:type="auto"/>
            <w:hideMark/>
          </w:tcPr>
          <w:p w14:paraId="62C16D2C" w14:textId="77777777" w:rsidR="002E2B34" w:rsidRPr="002E2B34" w:rsidRDefault="002E2B34" w:rsidP="002E2B34">
            <w:pPr>
              <w:spacing w:after="0" w:line="276" w:lineRule="auto"/>
              <w:ind w:left="9"/>
              <w:jc w:val="both"/>
              <w:rPr>
                <w:lang w:val="en-US"/>
              </w:rPr>
            </w:pPr>
            <w:r w:rsidRPr="002E2B34">
              <w:rPr>
                <w:lang w:val="en-US"/>
              </w:rPr>
              <w:t xml:space="preserve">Asian Development Bank, </w:t>
            </w:r>
            <w:r w:rsidRPr="002E2B34">
              <w:rPr>
                <w:i/>
                <w:iCs/>
                <w:lang w:val="en-US"/>
              </w:rPr>
              <w:t>Asian Development Outlook 2024</w:t>
            </w:r>
            <w:r w:rsidRPr="002E2B34">
              <w:rPr>
                <w:lang w:val="en-US"/>
              </w:rPr>
              <w:t>. Manila, Philippines: Asian Development Bank, 2024.</w:t>
            </w:r>
          </w:p>
        </w:tc>
      </w:tr>
      <w:tr w:rsidR="002E2B34" w:rsidRPr="002E2B34" w14:paraId="24FA5D44" w14:textId="77777777" w:rsidTr="002E2B34">
        <w:trPr>
          <w:tblCellSpacing w:w="15" w:type="dxa"/>
        </w:trPr>
        <w:tc>
          <w:tcPr>
            <w:tcW w:w="0" w:type="auto"/>
            <w:hideMark/>
          </w:tcPr>
          <w:p w14:paraId="02FA5D0C" w14:textId="77777777" w:rsidR="002E2B34" w:rsidRPr="002E2B34" w:rsidRDefault="002E2B34" w:rsidP="002E2B34">
            <w:pPr>
              <w:spacing w:after="0" w:line="276" w:lineRule="auto"/>
              <w:ind w:left="567" w:hanging="567"/>
              <w:rPr>
                <w:lang w:val="en-US"/>
              </w:rPr>
            </w:pPr>
            <w:r w:rsidRPr="002E2B34">
              <w:rPr>
                <w:bCs/>
                <w:lang w:val="en-US"/>
              </w:rPr>
              <w:t>[9]</w:t>
            </w:r>
          </w:p>
        </w:tc>
        <w:tc>
          <w:tcPr>
            <w:tcW w:w="0" w:type="auto"/>
            <w:hideMark/>
          </w:tcPr>
          <w:p w14:paraId="59D03E7E" w14:textId="77777777" w:rsidR="002E2B34" w:rsidRPr="002E2B34" w:rsidRDefault="002E2B34" w:rsidP="002E2B34">
            <w:pPr>
              <w:spacing w:after="0" w:line="276" w:lineRule="auto"/>
              <w:ind w:left="9"/>
              <w:jc w:val="both"/>
              <w:rPr>
                <w:lang w:val="en-US"/>
              </w:rPr>
            </w:pPr>
            <w:r w:rsidRPr="002E2B34">
              <w:rPr>
                <w:lang w:val="en-US"/>
              </w:rPr>
              <w:t xml:space="preserve">OECD and FAO, </w:t>
            </w:r>
            <w:r w:rsidRPr="002E2B34">
              <w:rPr>
                <w:i/>
                <w:iCs/>
                <w:lang w:val="en-US"/>
              </w:rPr>
              <w:t>OECD–FAO Agricultural Outlook 2024–2033</w:t>
            </w:r>
            <w:r w:rsidRPr="002E2B34">
              <w:rPr>
                <w:lang w:val="en-US"/>
              </w:rPr>
              <w:t>. Paris, France: OECD Publishing, 2024.</w:t>
            </w:r>
          </w:p>
        </w:tc>
      </w:tr>
      <w:tr w:rsidR="002E2B34" w:rsidRPr="002E2B34" w14:paraId="022AC2ED" w14:textId="77777777" w:rsidTr="002E2B34">
        <w:trPr>
          <w:tblCellSpacing w:w="15" w:type="dxa"/>
        </w:trPr>
        <w:tc>
          <w:tcPr>
            <w:tcW w:w="0" w:type="auto"/>
            <w:hideMark/>
          </w:tcPr>
          <w:p w14:paraId="33D8BCFD" w14:textId="77777777" w:rsidR="002E2B34" w:rsidRPr="002E2B34" w:rsidRDefault="002E2B34" w:rsidP="002E2B34">
            <w:pPr>
              <w:spacing w:after="0" w:line="276" w:lineRule="auto"/>
              <w:ind w:left="567" w:hanging="567"/>
              <w:rPr>
                <w:lang w:val="en-US"/>
              </w:rPr>
            </w:pPr>
            <w:r w:rsidRPr="002E2B34">
              <w:rPr>
                <w:bCs/>
                <w:lang w:val="en-US"/>
              </w:rPr>
              <w:t>[10]</w:t>
            </w:r>
          </w:p>
        </w:tc>
        <w:tc>
          <w:tcPr>
            <w:tcW w:w="0" w:type="auto"/>
            <w:hideMark/>
          </w:tcPr>
          <w:p w14:paraId="1CD71419" w14:textId="77777777" w:rsidR="002E2B34" w:rsidRPr="002E2B34" w:rsidRDefault="002E2B34" w:rsidP="002E2B34">
            <w:pPr>
              <w:spacing w:after="0" w:line="276" w:lineRule="auto"/>
              <w:ind w:left="9"/>
              <w:jc w:val="both"/>
              <w:rPr>
                <w:lang w:val="en-US"/>
              </w:rPr>
            </w:pPr>
            <w:r w:rsidRPr="002E2B34">
              <w:rPr>
                <w:lang w:val="en-US"/>
              </w:rPr>
              <w:t xml:space="preserve">International Food Policy Research Institute (IFPRI), </w:t>
            </w:r>
            <w:r w:rsidRPr="002E2B34">
              <w:rPr>
                <w:i/>
                <w:iCs/>
                <w:lang w:val="en-US"/>
              </w:rPr>
              <w:t>Global Food Policy Report 2024: Food Systems for Healthy Diets and Nutrition</w:t>
            </w:r>
            <w:r w:rsidRPr="002E2B34">
              <w:rPr>
                <w:lang w:val="en-US"/>
              </w:rPr>
              <w:t>. Washington, DC, USA: IFPRI, 2024.</w:t>
            </w:r>
          </w:p>
        </w:tc>
      </w:tr>
      <w:tr w:rsidR="002E2B34" w:rsidRPr="002E2B34" w14:paraId="0BAF4CDB" w14:textId="77777777" w:rsidTr="002E2B34">
        <w:trPr>
          <w:tblCellSpacing w:w="15" w:type="dxa"/>
        </w:trPr>
        <w:tc>
          <w:tcPr>
            <w:tcW w:w="0" w:type="auto"/>
            <w:hideMark/>
          </w:tcPr>
          <w:p w14:paraId="3D84A848" w14:textId="77777777" w:rsidR="002E2B34" w:rsidRPr="002E2B34" w:rsidRDefault="002E2B34" w:rsidP="002E2B34">
            <w:pPr>
              <w:spacing w:after="0" w:line="276" w:lineRule="auto"/>
              <w:ind w:left="567" w:hanging="567"/>
              <w:rPr>
                <w:lang w:val="en-US"/>
              </w:rPr>
            </w:pPr>
            <w:r w:rsidRPr="002E2B34">
              <w:rPr>
                <w:bCs/>
                <w:lang w:val="en-US"/>
              </w:rPr>
              <w:t>[11]</w:t>
            </w:r>
          </w:p>
        </w:tc>
        <w:tc>
          <w:tcPr>
            <w:tcW w:w="0" w:type="auto"/>
            <w:hideMark/>
          </w:tcPr>
          <w:p w14:paraId="2538B61D" w14:textId="77777777" w:rsidR="002E2B34" w:rsidRPr="002E2B34" w:rsidRDefault="002E2B34" w:rsidP="002E2B34">
            <w:pPr>
              <w:spacing w:after="0" w:line="276" w:lineRule="auto"/>
              <w:ind w:left="9"/>
              <w:jc w:val="both"/>
              <w:rPr>
                <w:lang w:val="en-US"/>
              </w:rPr>
            </w:pPr>
            <w:r w:rsidRPr="002E2B34">
              <w:rPr>
                <w:lang w:val="en-US"/>
              </w:rPr>
              <w:t xml:space="preserve">S. Saptana, A. Daryanto, H. K. Daryanto, and Kuntjoro, “Strategy for increasing competitiveness of horticultural commodities in Indonesia,” </w:t>
            </w:r>
            <w:r w:rsidRPr="002E2B34">
              <w:rPr>
                <w:i/>
                <w:iCs/>
                <w:lang w:val="en-US"/>
              </w:rPr>
              <w:t>Forum Penelitian Agro Ekonomi</w:t>
            </w:r>
            <w:r w:rsidRPr="002E2B34">
              <w:rPr>
                <w:lang w:val="en-US"/>
              </w:rPr>
              <w:t>, vol. 32, no. 1, pp. 1–17, 2014.</w:t>
            </w:r>
          </w:p>
        </w:tc>
      </w:tr>
      <w:tr w:rsidR="002E2B34" w:rsidRPr="002E2B34" w14:paraId="2B8213F2" w14:textId="77777777" w:rsidTr="002E2B34">
        <w:trPr>
          <w:tblCellSpacing w:w="15" w:type="dxa"/>
        </w:trPr>
        <w:tc>
          <w:tcPr>
            <w:tcW w:w="0" w:type="auto"/>
            <w:hideMark/>
          </w:tcPr>
          <w:p w14:paraId="5F242AA0" w14:textId="77777777" w:rsidR="002E2B34" w:rsidRPr="002E2B34" w:rsidRDefault="002E2B34" w:rsidP="002E2B34">
            <w:pPr>
              <w:spacing w:after="0" w:line="276" w:lineRule="auto"/>
              <w:ind w:left="567" w:hanging="567"/>
              <w:rPr>
                <w:lang w:val="en-US"/>
              </w:rPr>
            </w:pPr>
            <w:r w:rsidRPr="002E2B34">
              <w:rPr>
                <w:bCs/>
                <w:lang w:val="en-US"/>
              </w:rPr>
              <w:t>[12]</w:t>
            </w:r>
          </w:p>
        </w:tc>
        <w:tc>
          <w:tcPr>
            <w:tcW w:w="0" w:type="auto"/>
            <w:hideMark/>
          </w:tcPr>
          <w:p w14:paraId="09841764" w14:textId="77777777" w:rsidR="002E2B34" w:rsidRPr="002E2B34" w:rsidRDefault="002E2B34" w:rsidP="002E2B34">
            <w:pPr>
              <w:spacing w:after="0" w:line="276" w:lineRule="auto"/>
              <w:ind w:left="9"/>
              <w:jc w:val="both"/>
              <w:rPr>
                <w:lang w:val="en-US"/>
              </w:rPr>
            </w:pPr>
            <w:r w:rsidRPr="002E2B34">
              <w:rPr>
                <w:lang w:val="en-US"/>
              </w:rPr>
              <w:t xml:space="preserve">R. N. Suhaeti, “Horticultural agribusiness development and farmers’ income improvement in Indonesia,” </w:t>
            </w:r>
            <w:r w:rsidRPr="002E2B34">
              <w:rPr>
                <w:i/>
                <w:iCs/>
                <w:lang w:val="en-US"/>
              </w:rPr>
              <w:t>Analisis Kebijakan Pertanian</w:t>
            </w:r>
            <w:r w:rsidRPr="002E2B34">
              <w:rPr>
                <w:lang w:val="en-US"/>
              </w:rPr>
              <w:t>, vol. 14, no. 2, pp. 125–139, 2016.</w:t>
            </w:r>
          </w:p>
        </w:tc>
      </w:tr>
      <w:tr w:rsidR="002E2B34" w:rsidRPr="002E2B34" w14:paraId="6A509A5C" w14:textId="77777777" w:rsidTr="002E2B34">
        <w:trPr>
          <w:tblCellSpacing w:w="15" w:type="dxa"/>
        </w:trPr>
        <w:tc>
          <w:tcPr>
            <w:tcW w:w="0" w:type="auto"/>
            <w:hideMark/>
          </w:tcPr>
          <w:p w14:paraId="384402BB" w14:textId="77777777" w:rsidR="002E2B34" w:rsidRPr="002E2B34" w:rsidRDefault="002E2B34" w:rsidP="002E2B34">
            <w:pPr>
              <w:spacing w:after="0" w:line="276" w:lineRule="auto"/>
              <w:ind w:left="567" w:hanging="567"/>
              <w:rPr>
                <w:lang w:val="en-US"/>
              </w:rPr>
            </w:pPr>
            <w:r w:rsidRPr="002E2B34">
              <w:rPr>
                <w:bCs/>
                <w:lang w:val="en-US"/>
              </w:rPr>
              <w:t>[13]</w:t>
            </w:r>
          </w:p>
        </w:tc>
        <w:tc>
          <w:tcPr>
            <w:tcW w:w="0" w:type="auto"/>
            <w:hideMark/>
          </w:tcPr>
          <w:p w14:paraId="24299547" w14:textId="77777777" w:rsidR="002E2B34" w:rsidRPr="002E2B34" w:rsidRDefault="002E2B34" w:rsidP="002E2B34">
            <w:pPr>
              <w:spacing w:after="0" w:line="276" w:lineRule="auto"/>
              <w:ind w:left="9"/>
              <w:jc w:val="both"/>
              <w:rPr>
                <w:lang w:val="en-US"/>
              </w:rPr>
            </w:pPr>
            <w:r w:rsidRPr="002E2B34">
              <w:rPr>
                <w:lang w:val="en-US"/>
              </w:rPr>
              <w:t xml:space="preserve">E. Ariningsih, “Horticultural commodity development and food diversification in Indonesia,” </w:t>
            </w:r>
            <w:r w:rsidRPr="002E2B34">
              <w:rPr>
                <w:i/>
                <w:iCs/>
                <w:lang w:val="en-US"/>
              </w:rPr>
              <w:t>Forum Penelitian Agro Ekonomi</w:t>
            </w:r>
            <w:r w:rsidRPr="002E2B34">
              <w:rPr>
                <w:lang w:val="en-US"/>
              </w:rPr>
              <w:t>, vol. 34, no. 1, pp. 37–51, 2016.</w:t>
            </w:r>
          </w:p>
        </w:tc>
      </w:tr>
      <w:tr w:rsidR="002E2B34" w:rsidRPr="002E2B34" w14:paraId="01370936" w14:textId="77777777" w:rsidTr="002E2B34">
        <w:trPr>
          <w:tblCellSpacing w:w="15" w:type="dxa"/>
        </w:trPr>
        <w:tc>
          <w:tcPr>
            <w:tcW w:w="0" w:type="auto"/>
            <w:hideMark/>
          </w:tcPr>
          <w:p w14:paraId="313EA5E5" w14:textId="77777777" w:rsidR="002E2B34" w:rsidRPr="002E2B34" w:rsidRDefault="002E2B34" w:rsidP="002E2B34">
            <w:pPr>
              <w:spacing w:after="0" w:line="276" w:lineRule="auto"/>
              <w:ind w:left="567" w:hanging="567"/>
              <w:rPr>
                <w:lang w:val="en-US"/>
              </w:rPr>
            </w:pPr>
            <w:r w:rsidRPr="002E2B34">
              <w:rPr>
                <w:bCs/>
                <w:lang w:val="en-US"/>
              </w:rPr>
              <w:t>[14]</w:t>
            </w:r>
          </w:p>
        </w:tc>
        <w:tc>
          <w:tcPr>
            <w:tcW w:w="0" w:type="auto"/>
            <w:hideMark/>
          </w:tcPr>
          <w:p w14:paraId="4B6F204D" w14:textId="77777777" w:rsidR="002E2B34" w:rsidRPr="002E2B34" w:rsidRDefault="002E2B34" w:rsidP="002E2B34">
            <w:pPr>
              <w:spacing w:after="0" w:line="276" w:lineRule="auto"/>
              <w:ind w:left="9"/>
              <w:jc w:val="both"/>
              <w:rPr>
                <w:lang w:val="en-US"/>
              </w:rPr>
            </w:pPr>
            <w:r w:rsidRPr="002E2B34">
              <w:rPr>
                <w:lang w:val="en-US"/>
              </w:rPr>
              <w:t xml:space="preserve">A. K. Zakaria, “Policy analysis of garlic development and import dependency in Indonesia,” </w:t>
            </w:r>
            <w:r w:rsidRPr="002E2B34">
              <w:rPr>
                <w:i/>
                <w:iCs/>
                <w:lang w:val="en-US"/>
              </w:rPr>
              <w:t>Analisis Kebijakan Pertanian</w:t>
            </w:r>
            <w:r w:rsidRPr="002E2B34">
              <w:rPr>
                <w:lang w:val="en-US"/>
              </w:rPr>
              <w:t>, vol. 18, no. 1, pp. 1–14, 2020.</w:t>
            </w:r>
          </w:p>
        </w:tc>
      </w:tr>
      <w:tr w:rsidR="002E2B34" w:rsidRPr="002E2B34" w14:paraId="292168BA" w14:textId="77777777" w:rsidTr="002E2B34">
        <w:trPr>
          <w:tblCellSpacing w:w="15" w:type="dxa"/>
        </w:trPr>
        <w:tc>
          <w:tcPr>
            <w:tcW w:w="0" w:type="auto"/>
            <w:hideMark/>
          </w:tcPr>
          <w:p w14:paraId="37690AEC" w14:textId="77777777" w:rsidR="002E2B34" w:rsidRPr="002E2B34" w:rsidRDefault="002E2B34" w:rsidP="002E2B34">
            <w:pPr>
              <w:spacing w:after="0" w:line="276" w:lineRule="auto"/>
              <w:ind w:left="567" w:hanging="567"/>
              <w:rPr>
                <w:lang w:val="en-US"/>
              </w:rPr>
            </w:pPr>
            <w:r w:rsidRPr="002E2B34">
              <w:rPr>
                <w:bCs/>
                <w:lang w:val="en-US"/>
              </w:rPr>
              <w:t>[15]</w:t>
            </w:r>
          </w:p>
        </w:tc>
        <w:tc>
          <w:tcPr>
            <w:tcW w:w="0" w:type="auto"/>
            <w:hideMark/>
          </w:tcPr>
          <w:p w14:paraId="53D4E350" w14:textId="77777777" w:rsidR="002E2B34" w:rsidRPr="002E2B34" w:rsidRDefault="002E2B34" w:rsidP="002E2B34">
            <w:pPr>
              <w:spacing w:after="0" w:line="276" w:lineRule="auto"/>
              <w:ind w:left="9"/>
              <w:jc w:val="both"/>
              <w:rPr>
                <w:lang w:val="en-US"/>
              </w:rPr>
            </w:pPr>
            <w:r w:rsidRPr="002E2B34">
              <w:rPr>
                <w:lang w:val="en-US"/>
              </w:rPr>
              <w:t xml:space="preserve">N. Ilham and B. M. Sinaga, “Price volatility and market integration of strategic food commodities in Indonesia,” </w:t>
            </w:r>
            <w:r w:rsidRPr="002E2B34">
              <w:rPr>
                <w:i/>
                <w:iCs/>
                <w:lang w:val="en-US"/>
              </w:rPr>
              <w:t>Jurnal Agro Ekonomi</w:t>
            </w:r>
            <w:r w:rsidRPr="002E2B34">
              <w:rPr>
                <w:lang w:val="en-US"/>
              </w:rPr>
              <w:t>, vol. 37, no. 2, pp. 87–101, 2019.</w:t>
            </w:r>
          </w:p>
        </w:tc>
      </w:tr>
      <w:tr w:rsidR="002E2B34" w:rsidRPr="002E2B34" w14:paraId="4ECD61B4" w14:textId="77777777" w:rsidTr="002E2B34">
        <w:trPr>
          <w:tblCellSpacing w:w="15" w:type="dxa"/>
        </w:trPr>
        <w:tc>
          <w:tcPr>
            <w:tcW w:w="0" w:type="auto"/>
            <w:hideMark/>
          </w:tcPr>
          <w:p w14:paraId="01BB7A4C" w14:textId="77777777" w:rsidR="002E2B34" w:rsidRPr="002E2B34" w:rsidRDefault="002E2B34" w:rsidP="002E2B34">
            <w:pPr>
              <w:spacing w:after="0" w:line="276" w:lineRule="auto"/>
              <w:ind w:left="567" w:hanging="567"/>
              <w:rPr>
                <w:lang w:val="en-US"/>
              </w:rPr>
            </w:pPr>
            <w:r w:rsidRPr="002E2B34">
              <w:rPr>
                <w:bCs/>
                <w:lang w:val="en-US"/>
              </w:rPr>
              <w:t>[16]</w:t>
            </w:r>
          </w:p>
        </w:tc>
        <w:tc>
          <w:tcPr>
            <w:tcW w:w="0" w:type="auto"/>
            <w:hideMark/>
          </w:tcPr>
          <w:p w14:paraId="104F571B" w14:textId="77777777" w:rsidR="002E2B34" w:rsidRPr="002E2B34" w:rsidRDefault="002E2B34" w:rsidP="002E2B34">
            <w:pPr>
              <w:spacing w:after="0" w:line="276" w:lineRule="auto"/>
              <w:ind w:left="9"/>
              <w:jc w:val="both"/>
              <w:rPr>
                <w:lang w:val="en-US"/>
              </w:rPr>
            </w:pPr>
            <w:r w:rsidRPr="002E2B34">
              <w:rPr>
                <w:lang w:val="en-US"/>
              </w:rPr>
              <w:t xml:space="preserve">S. Hartoyo, “Food price inflation and strategic horticultural commodities in Indonesia,” </w:t>
            </w:r>
            <w:r w:rsidRPr="002E2B34">
              <w:rPr>
                <w:i/>
                <w:iCs/>
                <w:lang w:val="en-US"/>
              </w:rPr>
              <w:t>Indonesian Journal of Agricultural Economics</w:t>
            </w:r>
            <w:r w:rsidRPr="002E2B34">
              <w:rPr>
                <w:lang w:val="en-US"/>
              </w:rPr>
              <w:t>, vol. 11, no. 1, pp. 45–58, 2020.</w:t>
            </w:r>
          </w:p>
        </w:tc>
      </w:tr>
      <w:tr w:rsidR="002E2B34" w:rsidRPr="002E2B34" w14:paraId="29D80789" w14:textId="77777777" w:rsidTr="002E2B34">
        <w:trPr>
          <w:tblCellSpacing w:w="15" w:type="dxa"/>
        </w:trPr>
        <w:tc>
          <w:tcPr>
            <w:tcW w:w="0" w:type="auto"/>
            <w:hideMark/>
          </w:tcPr>
          <w:p w14:paraId="382A1E64" w14:textId="77777777" w:rsidR="002E2B34" w:rsidRPr="002E2B34" w:rsidRDefault="002E2B34" w:rsidP="002E2B34">
            <w:pPr>
              <w:spacing w:after="0" w:line="276" w:lineRule="auto"/>
              <w:ind w:left="567" w:hanging="567"/>
              <w:rPr>
                <w:lang w:val="en-US"/>
              </w:rPr>
            </w:pPr>
            <w:r w:rsidRPr="002E2B34">
              <w:rPr>
                <w:bCs/>
                <w:lang w:val="en-US"/>
              </w:rPr>
              <w:t>[17]</w:t>
            </w:r>
          </w:p>
        </w:tc>
        <w:tc>
          <w:tcPr>
            <w:tcW w:w="0" w:type="auto"/>
            <w:hideMark/>
          </w:tcPr>
          <w:p w14:paraId="42DCC0AA" w14:textId="77777777" w:rsidR="002E2B34" w:rsidRPr="002E2B34" w:rsidRDefault="002E2B34" w:rsidP="002E2B34">
            <w:pPr>
              <w:spacing w:after="0" w:line="276" w:lineRule="auto"/>
              <w:ind w:left="9"/>
              <w:jc w:val="both"/>
              <w:rPr>
                <w:lang w:val="en-US"/>
              </w:rPr>
            </w:pPr>
            <w:r w:rsidRPr="002E2B34">
              <w:rPr>
                <w:lang w:val="en-US"/>
              </w:rPr>
              <w:t xml:space="preserve">A. Suryana, “Food security policy and agricultural development in Indonesia,” </w:t>
            </w:r>
            <w:r w:rsidRPr="002E2B34">
              <w:rPr>
                <w:i/>
                <w:iCs/>
                <w:lang w:val="en-US"/>
              </w:rPr>
              <w:t>Jurnal Analisis Kebijakan Pertanian</w:t>
            </w:r>
            <w:r w:rsidRPr="002E2B34">
              <w:rPr>
                <w:lang w:val="en-US"/>
              </w:rPr>
              <w:t>, vol. 12, no. 2, pp. 75–89, 2014.</w:t>
            </w:r>
          </w:p>
        </w:tc>
      </w:tr>
      <w:tr w:rsidR="002E2B34" w:rsidRPr="002E2B34" w14:paraId="36D1B4F2" w14:textId="77777777" w:rsidTr="002E2B34">
        <w:trPr>
          <w:tblCellSpacing w:w="15" w:type="dxa"/>
        </w:trPr>
        <w:tc>
          <w:tcPr>
            <w:tcW w:w="0" w:type="auto"/>
            <w:hideMark/>
          </w:tcPr>
          <w:p w14:paraId="5FA5DB13" w14:textId="77777777" w:rsidR="002E2B34" w:rsidRPr="002E2B34" w:rsidRDefault="002E2B34" w:rsidP="002E2B34">
            <w:pPr>
              <w:spacing w:after="0" w:line="276" w:lineRule="auto"/>
              <w:ind w:left="567" w:hanging="567"/>
              <w:rPr>
                <w:lang w:val="en-US"/>
              </w:rPr>
            </w:pPr>
            <w:r w:rsidRPr="002E2B34">
              <w:rPr>
                <w:bCs/>
                <w:lang w:val="en-US"/>
              </w:rPr>
              <w:t>[18]</w:t>
            </w:r>
          </w:p>
        </w:tc>
        <w:tc>
          <w:tcPr>
            <w:tcW w:w="0" w:type="auto"/>
            <w:hideMark/>
          </w:tcPr>
          <w:p w14:paraId="78D24C9A" w14:textId="77777777" w:rsidR="002E2B34" w:rsidRPr="002E2B34" w:rsidRDefault="002E2B34" w:rsidP="002E2B34">
            <w:pPr>
              <w:spacing w:after="0" w:line="276" w:lineRule="auto"/>
              <w:ind w:left="9"/>
              <w:jc w:val="both"/>
              <w:rPr>
                <w:lang w:val="en-US"/>
              </w:rPr>
            </w:pPr>
            <w:r w:rsidRPr="002E2B34">
              <w:rPr>
                <w:lang w:val="en-US"/>
              </w:rPr>
              <w:t xml:space="preserve">M. A. Hossain, M. A. Islam, and M. M. Rahman, “Postharvest losses of fruits and vegetables: Causes and mitigation strategies,” </w:t>
            </w:r>
            <w:r w:rsidRPr="002E2B34">
              <w:rPr>
                <w:i/>
                <w:iCs/>
                <w:lang w:val="en-US"/>
              </w:rPr>
              <w:t>Journal of Agricultural Science and Food Research</w:t>
            </w:r>
            <w:r w:rsidRPr="002E2B34">
              <w:rPr>
                <w:lang w:val="en-US"/>
              </w:rPr>
              <w:t>, vol. 12, no. 3, pp. 1–8, 2021.</w:t>
            </w:r>
          </w:p>
        </w:tc>
      </w:tr>
      <w:tr w:rsidR="002E2B34" w:rsidRPr="002E2B34" w14:paraId="728FD335" w14:textId="77777777" w:rsidTr="002E2B34">
        <w:trPr>
          <w:tblCellSpacing w:w="15" w:type="dxa"/>
        </w:trPr>
        <w:tc>
          <w:tcPr>
            <w:tcW w:w="0" w:type="auto"/>
            <w:hideMark/>
          </w:tcPr>
          <w:p w14:paraId="26176B47" w14:textId="77777777" w:rsidR="002E2B34" w:rsidRPr="002E2B34" w:rsidRDefault="002E2B34" w:rsidP="002E2B34">
            <w:pPr>
              <w:spacing w:after="0" w:line="276" w:lineRule="auto"/>
              <w:ind w:left="567" w:hanging="567"/>
              <w:rPr>
                <w:lang w:val="en-US"/>
              </w:rPr>
            </w:pPr>
            <w:r w:rsidRPr="002E2B34">
              <w:rPr>
                <w:bCs/>
                <w:lang w:val="en-US"/>
              </w:rPr>
              <w:t>[19]</w:t>
            </w:r>
          </w:p>
        </w:tc>
        <w:tc>
          <w:tcPr>
            <w:tcW w:w="0" w:type="auto"/>
            <w:hideMark/>
          </w:tcPr>
          <w:p w14:paraId="6B7B4195" w14:textId="77777777" w:rsidR="002E2B34" w:rsidRPr="002E2B34" w:rsidRDefault="002E2B34" w:rsidP="002E2B34">
            <w:pPr>
              <w:spacing w:after="0" w:line="276" w:lineRule="auto"/>
              <w:ind w:left="9"/>
              <w:jc w:val="both"/>
              <w:rPr>
                <w:lang w:val="en-US"/>
              </w:rPr>
            </w:pPr>
            <w:r w:rsidRPr="002E2B34">
              <w:rPr>
                <w:lang w:val="en-US"/>
              </w:rPr>
              <w:t xml:space="preserve">M. A. Ali, M. R. Islam, and M. S. Rahman, “Supply chain management of horticultural products: Challenges and opportunities,” </w:t>
            </w:r>
            <w:r w:rsidRPr="002E2B34">
              <w:rPr>
                <w:i/>
                <w:iCs/>
                <w:lang w:val="en-US"/>
              </w:rPr>
              <w:t>Agricultural Systems</w:t>
            </w:r>
            <w:r w:rsidRPr="002E2B34">
              <w:rPr>
                <w:lang w:val="en-US"/>
              </w:rPr>
              <w:t>, vol. 196, Art. no. 103352, 2022.</w:t>
            </w:r>
          </w:p>
        </w:tc>
      </w:tr>
      <w:tr w:rsidR="002E2B34" w:rsidRPr="002E2B34" w14:paraId="2D09B283" w14:textId="77777777" w:rsidTr="002E2B34">
        <w:trPr>
          <w:tblCellSpacing w:w="15" w:type="dxa"/>
        </w:trPr>
        <w:tc>
          <w:tcPr>
            <w:tcW w:w="0" w:type="auto"/>
            <w:hideMark/>
          </w:tcPr>
          <w:p w14:paraId="12A68F9E" w14:textId="77777777" w:rsidR="002E2B34" w:rsidRPr="002E2B34" w:rsidRDefault="002E2B34" w:rsidP="002E2B34">
            <w:pPr>
              <w:spacing w:after="0" w:line="276" w:lineRule="auto"/>
              <w:ind w:left="567" w:hanging="567"/>
              <w:rPr>
                <w:lang w:val="en-US"/>
              </w:rPr>
            </w:pPr>
            <w:r w:rsidRPr="002E2B34">
              <w:rPr>
                <w:bCs/>
                <w:lang w:val="en-US"/>
              </w:rPr>
              <w:t>[20]</w:t>
            </w:r>
          </w:p>
        </w:tc>
        <w:tc>
          <w:tcPr>
            <w:tcW w:w="0" w:type="auto"/>
            <w:hideMark/>
          </w:tcPr>
          <w:p w14:paraId="1AE06184" w14:textId="77777777" w:rsidR="002E2B34" w:rsidRPr="002E2B34" w:rsidRDefault="002E2B34" w:rsidP="002E2B34">
            <w:pPr>
              <w:spacing w:after="0" w:line="276" w:lineRule="auto"/>
              <w:ind w:left="9"/>
              <w:jc w:val="both"/>
              <w:rPr>
                <w:lang w:val="en-US"/>
              </w:rPr>
            </w:pPr>
            <w:r w:rsidRPr="002E2B34">
              <w:rPr>
                <w:lang w:val="en-US"/>
              </w:rPr>
              <w:t xml:space="preserve">R. K. Singh and P. K. Singh, “Horticultural crop diversification for sustainable food and nutrition security,” </w:t>
            </w:r>
            <w:r w:rsidRPr="002E2B34">
              <w:rPr>
                <w:i/>
                <w:iCs/>
                <w:lang w:val="en-US"/>
              </w:rPr>
              <w:t>Sustainability</w:t>
            </w:r>
            <w:r w:rsidRPr="002E2B34">
              <w:rPr>
                <w:lang w:val="en-US"/>
              </w:rPr>
              <w:t>, vol. 15, no. 4, Art. no. 3156, 2023.</w:t>
            </w:r>
          </w:p>
        </w:tc>
      </w:tr>
    </w:tbl>
    <w:p w14:paraId="4BF32F06" w14:textId="13B2E85A" w:rsidR="00036098" w:rsidRPr="00072788" w:rsidRDefault="00036098" w:rsidP="00036098">
      <w:pPr>
        <w:spacing w:after="0" w:line="276" w:lineRule="auto"/>
        <w:ind w:left="567" w:hanging="567"/>
        <w:jc w:val="both"/>
      </w:pPr>
    </w:p>
    <w:p w14:paraId="177572DB" w14:textId="0DF9B288" w:rsidR="00175D14" w:rsidRPr="00072788" w:rsidRDefault="00175D14" w:rsidP="00175D14">
      <w:pPr>
        <w:spacing w:after="0" w:line="276" w:lineRule="auto"/>
        <w:ind w:left="720" w:hanging="720"/>
        <w:jc w:val="both"/>
      </w:pPr>
    </w:p>
    <w:sectPr w:rsidR="00175D14" w:rsidRPr="00072788" w:rsidSect="00B0396E">
      <w:headerReference w:type="even" r:id="rId10"/>
      <w:headerReference w:type="default" r:id="rId11"/>
      <w:footerReference w:type="default" r:id="rId12"/>
      <w:headerReference w:type="first" r:id="rId13"/>
      <w:footerReference w:type="first" r:id="rId14"/>
      <w:pgSz w:w="11906" w:h="16838"/>
      <w:pgMar w:top="851" w:right="1531" w:bottom="1418" w:left="1531" w:header="0" w:footer="260" w:gutter="0"/>
      <w:pgNumType w:start="39"/>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CC02E1" w14:textId="77777777" w:rsidR="00F1539A" w:rsidRDefault="00F1539A">
      <w:pPr>
        <w:spacing w:line="240" w:lineRule="auto"/>
      </w:pPr>
      <w:r>
        <w:separator/>
      </w:r>
    </w:p>
  </w:endnote>
  <w:endnote w:type="continuationSeparator" w:id="0">
    <w:p w14:paraId="270D9787" w14:textId="77777777" w:rsidR="00F1539A" w:rsidRDefault="00F153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Noto Sans">
    <w:altName w:val="Arial"/>
    <w:charset w:val="00"/>
    <w:family w:val="swiss"/>
    <w:pitch w:val="variable"/>
    <w:sig w:usb0="E00082FF" w:usb1="400078FF" w:usb2="00000021" w:usb3="00000000" w:csb0="0000019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C8096" w14:textId="443DBC83" w:rsidR="00036098" w:rsidRDefault="00036098">
    <w:pPr>
      <w:pStyle w:val="Footer"/>
    </w:pPr>
    <w:r>
      <w:rPr>
        <w:noProof/>
        <w:lang w:val="en-GB" w:eastAsia="en-GB"/>
      </w:rPr>
      <w:drawing>
        <wp:anchor distT="0" distB="0" distL="114300" distR="114300" simplePos="0" relativeHeight="251668480" behindDoc="1" locked="0" layoutInCell="1" allowOverlap="1" wp14:anchorId="0F75C21D" wp14:editId="44C7D25A">
          <wp:simplePos x="0" y="0"/>
          <wp:positionH relativeFrom="column">
            <wp:posOffset>4847590</wp:posOffset>
          </wp:positionH>
          <wp:positionV relativeFrom="paragraph">
            <wp:posOffset>-526415</wp:posOffset>
          </wp:positionV>
          <wp:extent cx="981075" cy="879475"/>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075" cy="87947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B5814" w14:textId="04901264" w:rsidR="00036098" w:rsidRPr="00EE1FBF" w:rsidRDefault="00036098">
    <w:pPr>
      <w:spacing w:after="0"/>
      <w:rPr>
        <w:color w:val="0070C0"/>
        <w:sz w:val="18"/>
        <w:szCs w:val="18"/>
      </w:rPr>
    </w:pPr>
    <w:r w:rsidRPr="00EE1FBF">
      <w:rPr>
        <w:color w:val="0070C0"/>
        <w:sz w:val="18"/>
        <w:szCs w:val="18"/>
      </w:rPr>
      <w:t>This</w:t>
    </w:r>
    <w:r w:rsidRPr="00EE1FBF">
      <w:rPr>
        <w:color w:val="0070C0"/>
        <w:sz w:val="18"/>
        <w:szCs w:val="18"/>
        <w:highlight w:val="white"/>
      </w:rPr>
      <w:t xml:space="preserve"> </w:t>
    </w:r>
    <w:r w:rsidRPr="00EE1FBF">
      <w:rPr>
        <w:color w:val="0070C0"/>
        <w:sz w:val="18"/>
        <w:szCs w:val="18"/>
      </w:rPr>
      <w:t xml:space="preserve">work is licensed under </w:t>
    </w:r>
    <w:r w:rsidRPr="00EE1FBF">
      <w:rPr>
        <w:color w:val="0070C0"/>
        <w:sz w:val="18"/>
        <w:szCs w:val="18"/>
        <w:highlight w:val="white"/>
      </w:rPr>
      <w:t xml:space="preserve">a </w:t>
    </w:r>
    <w:hyperlink r:id="rId1">
      <w:r w:rsidRPr="00EE1FBF">
        <w:rPr>
          <w:color w:val="0070C0"/>
          <w:sz w:val="18"/>
          <w:szCs w:val="18"/>
          <w:highlight w:val="white"/>
        </w:rPr>
        <w:t>Creative Commons Attribution 4.0 International License</w:t>
      </w:r>
    </w:hyperlink>
    <w:r w:rsidRPr="00EE1FBF">
      <w:rPr>
        <w:color w:val="0070C0"/>
        <w:sz w:val="18"/>
        <w:szCs w:val="18"/>
        <w:highlight w:val="white"/>
      </w:rPr>
      <w: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8ED717" w14:textId="77777777" w:rsidR="00F1539A" w:rsidRDefault="00F1539A">
      <w:pPr>
        <w:spacing w:after="0"/>
      </w:pPr>
      <w:r>
        <w:separator/>
      </w:r>
    </w:p>
  </w:footnote>
  <w:footnote w:type="continuationSeparator" w:id="0">
    <w:p w14:paraId="34AF2576" w14:textId="77777777" w:rsidR="00F1539A" w:rsidRDefault="00F1539A">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96114" w14:textId="77777777" w:rsidR="00036098" w:rsidRDefault="00036098">
    <w:pP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9C227A" w14:textId="77777777" w:rsidR="00036098" w:rsidRDefault="00036098">
    <w:pPr>
      <w:tabs>
        <w:tab w:val="center" w:pos="4680"/>
        <w:tab w:val="right" w:pos="9360"/>
      </w:tabs>
      <w:spacing w:after="0" w:line="240" w:lineRule="auto"/>
      <w:jc w:val="right"/>
      <w:rPr>
        <w:color w:val="000000"/>
      </w:rPr>
    </w:pPr>
  </w:p>
  <w:p w14:paraId="5EE38F6A" w14:textId="31F83311" w:rsidR="00036098" w:rsidRDefault="00036098">
    <w:pPr>
      <w:spacing w:after="0"/>
      <w:rPr>
        <w:rFonts w:asciiTheme="majorHAnsi" w:hAnsiTheme="majorHAnsi" w:cstheme="majorHAnsi"/>
        <w:color w:val="000000"/>
        <w:sz w:val="18"/>
        <w:szCs w:val="16"/>
      </w:rPr>
    </w:pPr>
    <w:r w:rsidRPr="00EB43C4">
      <w:rPr>
        <w:rFonts w:asciiTheme="majorHAnsi" w:eastAsia="Palatino Linotype" w:hAnsiTheme="majorHAnsi" w:cstheme="majorHAnsi"/>
        <w:i/>
        <w:sz w:val="18"/>
        <w:szCs w:val="16"/>
      </w:rPr>
      <w:t>Journal of Agro Complex Development Society</w:t>
    </w:r>
    <w:r w:rsidRPr="00785236">
      <w:rPr>
        <w:rFonts w:asciiTheme="majorHAnsi" w:eastAsia="Palatino Linotype" w:hAnsiTheme="majorHAnsi" w:cstheme="majorHAnsi"/>
        <w:i/>
        <w:sz w:val="18"/>
        <w:szCs w:val="16"/>
      </w:rPr>
      <w:t xml:space="preserve">                            </w:t>
    </w:r>
    <w:r>
      <w:rPr>
        <w:rFonts w:asciiTheme="majorHAnsi" w:hAnsiTheme="majorHAnsi" w:cstheme="majorHAnsi"/>
        <w:sz w:val="24"/>
      </w:rPr>
      <w:tab/>
    </w:r>
    <w:r>
      <w:rPr>
        <w:rFonts w:asciiTheme="majorHAnsi" w:hAnsiTheme="majorHAnsi" w:cstheme="majorHAnsi"/>
        <w:sz w:val="24"/>
      </w:rPr>
      <w:tab/>
    </w:r>
    <w:r>
      <w:rPr>
        <w:rFonts w:asciiTheme="majorHAnsi" w:hAnsiTheme="majorHAnsi" w:cstheme="majorHAnsi"/>
        <w:sz w:val="24"/>
      </w:rPr>
      <w:tab/>
    </w:r>
    <w:r>
      <w:rPr>
        <w:rFonts w:asciiTheme="majorHAnsi" w:hAnsiTheme="majorHAnsi" w:cstheme="majorHAnsi"/>
        <w:sz w:val="24"/>
      </w:rPr>
      <w:tab/>
    </w:r>
    <w:r>
      <w:rPr>
        <w:rFonts w:asciiTheme="majorHAnsi" w:hAnsiTheme="majorHAnsi" w:cstheme="majorHAnsi"/>
        <w:sz w:val="24"/>
      </w:rPr>
      <w:tab/>
    </w:r>
    <w:r w:rsidR="000078DE">
      <w:rPr>
        <w:rFonts w:asciiTheme="majorHAnsi" w:hAnsiTheme="majorHAnsi" w:cstheme="majorHAnsi"/>
        <w:sz w:val="24"/>
      </w:rPr>
      <w:tab/>
    </w:r>
    <w:r>
      <w:rPr>
        <w:rFonts w:asciiTheme="majorHAnsi" w:hAnsiTheme="majorHAnsi" w:cstheme="majorHAnsi"/>
        <w:color w:val="000000"/>
        <w:sz w:val="18"/>
        <w:szCs w:val="16"/>
      </w:rPr>
      <w:fldChar w:fldCharType="begin"/>
    </w:r>
    <w:r>
      <w:rPr>
        <w:rFonts w:asciiTheme="majorHAnsi" w:hAnsiTheme="majorHAnsi" w:cstheme="majorHAnsi"/>
        <w:color w:val="000000"/>
        <w:sz w:val="18"/>
        <w:szCs w:val="16"/>
      </w:rPr>
      <w:instrText>PAGE</w:instrText>
    </w:r>
    <w:r>
      <w:rPr>
        <w:rFonts w:asciiTheme="majorHAnsi" w:hAnsiTheme="majorHAnsi" w:cstheme="majorHAnsi"/>
        <w:color w:val="000000"/>
        <w:sz w:val="18"/>
        <w:szCs w:val="16"/>
      </w:rPr>
      <w:fldChar w:fldCharType="separate"/>
    </w:r>
    <w:r w:rsidR="00B0396E">
      <w:rPr>
        <w:rFonts w:asciiTheme="majorHAnsi" w:hAnsiTheme="majorHAnsi" w:cstheme="majorHAnsi"/>
        <w:noProof/>
        <w:color w:val="000000"/>
        <w:sz w:val="18"/>
        <w:szCs w:val="16"/>
      </w:rPr>
      <w:t>40</w:t>
    </w:r>
    <w:r>
      <w:rPr>
        <w:rFonts w:asciiTheme="majorHAnsi" w:hAnsiTheme="majorHAnsi" w:cstheme="majorHAnsi"/>
        <w:color w:val="000000"/>
        <w:sz w:val="18"/>
        <w:szCs w:val="16"/>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C602E5" w14:textId="77777777" w:rsidR="00036098" w:rsidRDefault="00036098">
    <w:pPr>
      <w:spacing w:after="0" w:line="240" w:lineRule="auto"/>
      <w:rPr>
        <w:rFonts w:ascii="Palatino Linotype" w:eastAsia="Palatino Linotype" w:hAnsi="Palatino Linotype" w:cs="Palatino Linotype"/>
        <w:sz w:val="24"/>
        <w:szCs w:val="24"/>
      </w:rPr>
    </w:pPr>
  </w:p>
  <w:p w14:paraId="056A0208" w14:textId="4FF226CB" w:rsidR="00036098" w:rsidRDefault="00036098">
    <w:pPr>
      <w:tabs>
        <w:tab w:val="left" w:pos="405"/>
      </w:tabs>
      <w:spacing w:after="0" w:line="240" w:lineRule="auto"/>
      <w:rPr>
        <w:color w:val="000000"/>
        <w:sz w:val="24"/>
        <w:szCs w:val="24"/>
      </w:rPr>
    </w:pPr>
    <w:r>
      <w:rPr>
        <w:color w:val="000000"/>
        <w:sz w:val="24"/>
        <w:szCs w:val="24"/>
      </w:rPr>
      <w:tab/>
    </w:r>
  </w:p>
  <w:tbl>
    <w:tblPr>
      <w:tblStyle w:val="TableGrid"/>
      <w:tblW w:w="9351" w:type="dxa"/>
      <w:tblBorders>
        <w:top w:val="single" w:sz="4" w:space="0" w:color="FFFFFF" w:themeColor="background1"/>
        <w:left w:val="single" w:sz="4" w:space="0" w:color="FFFFFF" w:themeColor="background1"/>
        <w:bottom w:val="single" w:sz="4" w:space="0" w:color="00B0F0"/>
        <w:right w:val="single" w:sz="4" w:space="0" w:color="FFFFFF" w:themeColor="background1"/>
        <w:insideH w:val="none" w:sz="0" w:space="0" w:color="auto"/>
        <w:insideV w:val="none" w:sz="0" w:space="0" w:color="auto"/>
      </w:tblBorders>
      <w:tblLook w:val="04A0" w:firstRow="1" w:lastRow="0" w:firstColumn="1" w:lastColumn="0" w:noHBand="0" w:noVBand="1"/>
    </w:tblPr>
    <w:tblGrid>
      <w:gridCol w:w="9351"/>
    </w:tblGrid>
    <w:tr w:rsidR="00036098" w:rsidRPr="00667F19" w14:paraId="2C7F2E04" w14:textId="77777777" w:rsidTr="009707A7">
      <w:tc>
        <w:tcPr>
          <w:tcW w:w="9351" w:type="dxa"/>
          <w:tcBorders>
            <w:bottom w:val="single" w:sz="4" w:space="0" w:color="17365D" w:themeColor="text2" w:themeShade="BF"/>
          </w:tcBorders>
          <w:vAlign w:val="center"/>
        </w:tcPr>
        <w:p w14:paraId="45C45D74" w14:textId="5537C054" w:rsidR="00036098" w:rsidRPr="00667F19" w:rsidRDefault="00036098" w:rsidP="00310771">
          <w:pPr>
            <w:tabs>
              <w:tab w:val="left" w:pos="405"/>
            </w:tabs>
            <w:spacing w:after="0" w:line="240" w:lineRule="auto"/>
            <w:rPr>
              <w:sz w:val="24"/>
              <w:szCs w:val="24"/>
            </w:rPr>
          </w:pPr>
          <w:r>
            <w:rPr>
              <w:noProof/>
              <w:lang w:val="en-GB" w:eastAsia="en-GB"/>
            </w:rPr>
            <w:drawing>
              <wp:anchor distT="0" distB="0" distL="114300" distR="114300" simplePos="0" relativeHeight="251666432" behindDoc="1" locked="0" layoutInCell="1" allowOverlap="1" wp14:anchorId="7AFBA4DB" wp14:editId="0F7EE327">
                <wp:simplePos x="0" y="0"/>
                <wp:positionH relativeFrom="column">
                  <wp:posOffset>-3175</wp:posOffset>
                </wp:positionH>
                <wp:positionV relativeFrom="paragraph">
                  <wp:posOffset>-635</wp:posOffset>
                </wp:positionV>
                <wp:extent cx="1430655" cy="1282700"/>
                <wp:effectExtent l="0" t="0" r="0" b="0"/>
                <wp:wrapNone/>
                <wp:docPr id="10817592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0655" cy="1282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505F2E" w14:textId="7B515A01" w:rsidR="00036098" w:rsidRPr="00667F19" w:rsidRDefault="00036098" w:rsidP="00310771">
          <w:pPr>
            <w:tabs>
              <w:tab w:val="left" w:pos="405"/>
            </w:tabs>
            <w:spacing w:after="0" w:line="240" w:lineRule="auto"/>
            <w:rPr>
              <w:sz w:val="24"/>
              <w:szCs w:val="24"/>
            </w:rPr>
          </w:pPr>
        </w:p>
        <w:p w14:paraId="45FB1CD6" w14:textId="350436D2" w:rsidR="00036098" w:rsidRPr="00667F19" w:rsidRDefault="00036098" w:rsidP="00310771">
          <w:pPr>
            <w:tabs>
              <w:tab w:val="left" w:pos="405"/>
            </w:tabs>
            <w:spacing w:after="0" w:line="240" w:lineRule="auto"/>
            <w:rPr>
              <w:sz w:val="24"/>
              <w:szCs w:val="24"/>
            </w:rPr>
          </w:pPr>
        </w:p>
        <w:p w14:paraId="5F50DF1E" w14:textId="77777777" w:rsidR="00036098" w:rsidRPr="00667F19" w:rsidRDefault="00036098" w:rsidP="00310771">
          <w:pPr>
            <w:tabs>
              <w:tab w:val="left" w:pos="405"/>
            </w:tabs>
            <w:spacing w:after="0" w:line="240" w:lineRule="auto"/>
            <w:rPr>
              <w:sz w:val="24"/>
              <w:szCs w:val="24"/>
            </w:rPr>
          </w:pPr>
        </w:p>
        <w:p w14:paraId="0B81E88A" w14:textId="269B08FD" w:rsidR="00036098" w:rsidRPr="008E7E6A" w:rsidRDefault="00036098" w:rsidP="008E7E6A">
          <w:pPr>
            <w:tabs>
              <w:tab w:val="left" w:pos="405"/>
            </w:tabs>
            <w:spacing w:after="0" w:line="240" w:lineRule="auto"/>
            <w:jc w:val="right"/>
            <w:rPr>
              <w:rStyle w:val="Strong"/>
              <w:rFonts w:ascii="Corbel" w:hAnsi="Corbel" w:cs="Noto Sans"/>
              <w:sz w:val="36"/>
              <w:szCs w:val="36"/>
              <w:shd w:val="clear" w:color="auto" w:fill="FFFFFF"/>
            </w:rPr>
          </w:pPr>
          <w:r w:rsidRPr="008E7E6A">
            <w:rPr>
              <w:rStyle w:val="Strong"/>
              <w:rFonts w:ascii="Noto Sans" w:hAnsi="Noto Sans" w:cs="Noto Sans"/>
              <w:sz w:val="28"/>
              <w:szCs w:val="28"/>
              <w:shd w:val="clear" w:color="auto" w:fill="FFFFFF"/>
            </w:rPr>
            <w:t>Journal of Agro Complex Development Society</w:t>
          </w:r>
        </w:p>
        <w:p w14:paraId="4FDE0AF4" w14:textId="06B6932B" w:rsidR="00036098" w:rsidRPr="00EE1FBF" w:rsidRDefault="00951B78" w:rsidP="00056DC5">
          <w:pPr>
            <w:tabs>
              <w:tab w:val="left" w:pos="405"/>
            </w:tabs>
            <w:spacing w:after="0" w:line="240" w:lineRule="auto"/>
            <w:jc w:val="right"/>
            <w:rPr>
              <w:rStyle w:val="Strong"/>
              <w:rFonts w:asciiTheme="majorHAnsi" w:hAnsiTheme="majorHAnsi" w:cstheme="majorHAnsi"/>
              <w:bCs w:val="0"/>
              <w:sz w:val="20"/>
              <w:szCs w:val="20"/>
              <w:shd w:val="clear" w:color="auto" w:fill="FFFFFF"/>
            </w:rPr>
          </w:pPr>
          <w:r>
            <w:rPr>
              <w:rStyle w:val="Strong"/>
              <w:rFonts w:asciiTheme="majorHAnsi" w:hAnsiTheme="majorHAnsi" w:cstheme="majorHAnsi"/>
              <w:bCs w:val="0"/>
              <w:sz w:val="20"/>
              <w:szCs w:val="20"/>
              <w:shd w:val="clear" w:color="auto" w:fill="FFFFFF"/>
            </w:rPr>
            <w:t>Vol 3(2</w:t>
          </w:r>
          <w:r w:rsidR="00036098">
            <w:rPr>
              <w:rStyle w:val="Strong"/>
              <w:rFonts w:asciiTheme="majorHAnsi" w:hAnsiTheme="majorHAnsi" w:cstheme="majorHAnsi"/>
              <w:bCs w:val="0"/>
              <w:sz w:val="20"/>
              <w:szCs w:val="20"/>
              <w:shd w:val="clear" w:color="auto" w:fill="FFFFFF"/>
            </w:rPr>
            <w:t xml:space="preserve">) </w:t>
          </w:r>
          <w:r>
            <w:rPr>
              <w:rStyle w:val="Strong"/>
              <w:rFonts w:asciiTheme="majorHAnsi" w:hAnsiTheme="majorHAnsi" w:cstheme="majorHAnsi"/>
              <w:bCs w:val="0"/>
              <w:sz w:val="20"/>
              <w:szCs w:val="20"/>
              <w:shd w:val="clear" w:color="auto" w:fill="FFFFFF"/>
            </w:rPr>
            <w:t>October</w:t>
          </w:r>
          <w:r w:rsidR="00036098">
            <w:rPr>
              <w:rStyle w:val="Strong"/>
              <w:rFonts w:asciiTheme="majorHAnsi" w:hAnsiTheme="majorHAnsi" w:cstheme="majorHAnsi"/>
              <w:bCs w:val="0"/>
              <w:sz w:val="20"/>
              <w:szCs w:val="20"/>
              <w:shd w:val="clear" w:color="auto" w:fill="FFFFFF"/>
            </w:rPr>
            <w:t xml:space="preserve"> 2026</w:t>
          </w:r>
        </w:p>
        <w:p w14:paraId="4EDCA387" w14:textId="43770617" w:rsidR="00036098" w:rsidRPr="00667F19" w:rsidRDefault="00F1539A" w:rsidP="00056DC5">
          <w:pPr>
            <w:tabs>
              <w:tab w:val="left" w:pos="405"/>
            </w:tabs>
            <w:spacing w:after="0" w:line="240" w:lineRule="auto"/>
            <w:jc w:val="right"/>
            <w:rPr>
              <w:sz w:val="24"/>
              <w:szCs w:val="24"/>
            </w:rPr>
          </w:pPr>
          <w:hyperlink r:id="rId2" w:history="1">
            <w:r w:rsidR="00036098" w:rsidRPr="00BC0F9F">
              <w:rPr>
                <w:rStyle w:val="Hyperlink"/>
                <w:rFonts w:asciiTheme="majorHAnsi" w:hAnsiTheme="majorHAnsi" w:cstheme="majorHAnsi"/>
                <w:sz w:val="20"/>
                <w:szCs w:val="20"/>
                <w:shd w:val="clear" w:color="auto" w:fill="FFFFFF"/>
              </w:rPr>
              <w:t>https://agrocomplex.professorline.com/index.php/journal/index</w:t>
            </w:r>
          </w:hyperlink>
          <w:r w:rsidR="00036098">
            <w:rPr>
              <w:rStyle w:val="Strong"/>
              <w:rFonts w:asciiTheme="majorHAnsi" w:hAnsiTheme="majorHAnsi" w:cstheme="majorHAnsi"/>
              <w:b w:val="0"/>
              <w:bCs w:val="0"/>
              <w:sz w:val="20"/>
              <w:szCs w:val="20"/>
              <w:shd w:val="clear" w:color="auto" w:fill="FFFFFF"/>
            </w:rPr>
            <w:t xml:space="preserve">  </w:t>
          </w:r>
        </w:p>
      </w:tc>
    </w:tr>
  </w:tbl>
  <w:p w14:paraId="26152194" w14:textId="0C97B65D" w:rsidR="00036098" w:rsidRDefault="00036098">
    <w:pPr>
      <w:spacing w:after="0" w:line="240" w:lineRule="auto"/>
      <w:rPr>
        <w:rFonts w:ascii="Cambria" w:eastAsia="Cambria" w:hAnsi="Cambria" w:cs="Cambria"/>
        <w:color w:val="008000"/>
        <w:sz w:val="18"/>
        <w:szCs w:val="1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34235F"/>
    <w:multiLevelType w:val="multilevel"/>
    <w:tmpl w:val="656A0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742E5E"/>
    <w:multiLevelType w:val="multilevel"/>
    <w:tmpl w:val="360CC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736EE2"/>
    <w:multiLevelType w:val="multilevel"/>
    <w:tmpl w:val="45509BF2"/>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 w15:restartNumberingAfterBreak="0">
    <w:nsid w:val="47AA1B72"/>
    <w:multiLevelType w:val="hybridMultilevel"/>
    <w:tmpl w:val="4156F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760B4A"/>
    <w:multiLevelType w:val="multilevel"/>
    <w:tmpl w:val="786EA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7525A2"/>
    <w:multiLevelType w:val="hybridMultilevel"/>
    <w:tmpl w:val="8D4E964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7D0F0F40"/>
    <w:multiLevelType w:val="multilevel"/>
    <w:tmpl w:val="803C1FB8"/>
    <w:lvl w:ilvl="0">
      <w:start w:val="1"/>
      <w:numFmt w:val="bullet"/>
      <w:lvlText w:val="●"/>
      <w:lvlJc w:val="left"/>
      <w:pPr>
        <w:ind w:left="1429" w:hanging="360"/>
      </w:pPr>
      <w:rPr>
        <w:rFonts w:ascii="Arial" w:eastAsia="Arial" w:hAnsi="Arial" w:cs="Arial"/>
      </w:rPr>
    </w:lvl>
    <w:lvl w:ilvl="1">
      <w:start w:val="1"/>
      <w:numFmt w:val="bullet"/>
      <w:lvlText w:val="o"/>
      <w:lvlJc w:val="left"/>
      <w:pPr>
        <w:ind w:left="2149" w:hanging="360"/>
      </w:pPr>
      <w:rPr>
        <w:rFonts w:ascii="Arial" w:eastAsia="Arial" w:hAnsi="Arial" w:cs="Arial"/>
      </w:rPr>
    </w:lvl>
    <w:lvl w:ilvl="2">
      <w:start w:val="1"/>
      <w:numFmt w:val="bullet"/>
      <w:lvlText w:val="▪"/>
      <w:lvlJc w:val="left"/>
      <w:pPr>
        <w:ind w:left="2869" w:hanging="360"/>
      </w:pPr>
      <w:rPr>
        <w:rFonts w:ascii="Arial" w:eastAsia="Arial" w:hAnsi="Arial" w:cs="Arial"/>
      </w:rPr>
    </w:lvl>
    <w:lvl w:ilvl="3">
      <w:start w:val="1"/>
      <w:numFmt w:val="bullet"/>
      <w:lvlText w:val="●"/>
      <w:lvlJc w:val="left"/>
      <w:pPr>
        <w:ind w:left="3589" w:hanging="360"/>
      </w:pPr>
      <w:rPr>
        <w:rFonts w:ascii="Arial" w:eastAsia="Arial" w:hAnsi="Arial" w:cs="Arial"/>
      </w:rPr>
    </w:lvl>
    <w:lvl w:ilvl="4">
      <w:start w:val="1"/>
      <w:numFmt w:val="bullet"/>
      <w:lvlText w:val="o"/>
      <w:lvlJc w:val="left"/>
      <w:pPr>
        <w:ind w:left="4309" w:hanging="360"/>
      </w:pPr>
      <w:rPr>
        <w:rFonts w:ascii="Arial" w:eastAsia="Arial" w:hAnsi="Arial" w:cs="Arial"/>
      </w:rPr>
    </w:lvl>
    <w:lvl w:ilvl="5">
      <w:start w:val="1"/>
      <w:numFmt w:val="bullet"/>
      <w:lvlText w:val="▪"/>
      <w:lvlJc w:val="left"/>
      <w:pPr>
        <w:ind w:left="5029" w:hanging="360"/>
      </w:pPr>
      <w:rPr>
        <w:rFonts w:ascii="Arial" w:eastAsia="Arial" w:hAnsi="Arial" w:cs="Arial"/>
      </w:rPr>
    </w:lvl>
    <w:lvl w:ilvl="6">
      <w:start w:val="1"/>
      <w:numFmt w:val="bullet"/>
      <w:lvlText w:val="●"/>
      <w:lvlJc w:val="left"/>
      <w:pPr>
        <w:ind w:left="5749" w:hanging="360"/>
      </w:pPr>
      <w:rPr>
        <w:rFonts w:ascii="Arial" w:eastAsia="Arial" w:hAnsi="Arial" w:cs="Arial"/>
      </w:rPr>
    </w:lvl>
    <w:lvl w:ilvl="7">
      <w:start w:val="1"/>
      <w:numFmt w:val="bullet"/>
      <w:lvlText w:val="o"/>
      <w:lvlJc w:val="left"/>
      <w:pPr>
        <w:ind w:left="6469" w:hanging="360"/>
      </w:pPr>
      <w:rPr>
        <w:rFonts w:ascii="Arial" w:eastAsia="Arial" w:hAnsi="Arial" w:cs="Arial"/>
      </w:rPr>
    </w:lvl>
    <w:lvl w:ilvl="8">
      <w:start w:val="1"/>
      <w:numFmt w:val="bullet"/>
      <w:lvlText w:val="▪"/>
      <w:lvlJc w:val="left"/>
      <w:pPr>
        <w:ind w:left="7189" w:hanging="360"/>
      </w:pPr>
      <w:rPr>
        <w:rFonts w:ascii="Arial" w:eastAsia="Arial" w:hAnsi="Arial" w:cs="Arial"/>
      </w:rPr>
    </w:lvl>
  </w:abstractNum>
  <w:num w:numId="1">
    <w:abstractNumId w:val="3"/>
  </w:num>
  <w:num w:numId="2">
    <w:abstractNumId w:val="7"/>
  </w:num>
  <w:num w:numId="3">
    <w:abstractNumId w:val="0"/>
  </w:num>
  <w:num w:numId="4">
    <w:abstractNumId w:val="4"/>
  </w:num>
  <w:num w:numId="5">
    <w:abstractNumId w:val="5"/>
  </w:num>
  <w:num w:numId="6">
    <w:abstractNumId w:val="1"/>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isplayBackgroundShape/>
  <w:defaultTabStop w:val="720"/>
  <w:noPunctuationKerning/>
  <w:characterSpacingControl w:val="doNotCompress"/>
  <w:savePreviewPicture/>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MrUwMjYwNTYytjQxN7RU0lEKTi0uzszPAykwqgUAdBZiPSwAAAA="/>
  </w:docVars>
  <w:rsids>
    <w:rsidRoot w:val="00C711EF"/>
    <w:rsid w:val="00001E47"/>
    <w:rsid w:val="000078DE"/>
    <w:rsid w:val="0001628C"/>
    <w:rsid w:val="00036098"/>
    <w:rsid w:val="00054A9C"/>
    <w:rsid w:val="00056DC5"/>
    <w:rsid w:val="00072788"/>
    <w:rsid w:val="0007680F"/>
    <w:rsid w:val="000774CF"/>
    <w:rsid w:val="000A0537"/>
    <w:rsid w:val="000D2F8F"/>
    <w:rsid w:val="000D3B57"/>
    <w:rsid w:val="00101679"/>
    <w:rsid w:val="00115B2A"/>
    <w:rsid w:val="00116D98"/>
    <w:rsid w:val="001402E7"/>
    <w:rsid w:val="001413EC"/>
    <w:rsid w:val="0014600A"/>
    <w:rsid w:val="00152D3F"/>
    <w:rsid w:val="00154E89"/>
    <w:rsid w:val="00175D14"/>
    <w:rsid w:val="001A038D"/>
    <w:rsid w:val="001A4B37"/>
    <w:rsid w:val="001D470D"/>
    <w:rsid w:val="001F6187"/>
    <w:rsid w:val="00206491"/>
    <w:rsid w:val="00244225"/>
    <w:rsid w:val="00287703"/>
    <w:rsid w:val="002B32D9"/>
    <w:rsid w:val="002E2B34"/>
    <w:rsid w:val="00310771"/>
    <w:rsid w:val="003225CA"/>
    <w:rsid w:val="00345E5D"/>
    <w:rsid w:val="00360D3D"/>
    <w:rsid w:val="00367B8D"/>
    <w:rsid w:val="003719C7"/>
    <w:rsid w:val="003B2C83"/>
    <w:rsid w:val="003D07C2"/>
    <w:rsid w:val="004406CE"/>
    <w:rsid w:val="004A6D61"/>
    <w:rsid w:val="00502C5E"/>
    <w:rsid w:val="005246F8"/>
    <w:rsid w:val="00541432"/>
    <w:rsid w:val="005677D4"/>
    <w:rsid w:val="005758F8"/>
    <w:rsid w:val="00580307"/>
    <w:rsid w:val="00586E7A"/>
    <w:rsid w:val="005C4F38"/>
    <w:rsid w:val="005D13D7"/>
    <w:rsid w:val="005F34F7"/>
    <w:rsid w:val="00601DCA"/>
    <w:rsid w:val="006105D5"/>
    <w:rsid w:val="00667F19"/>
    <w:rsid w:val="006C077A"/>
    <w:rsid w:val="006C18F5"/>
    <w:rsid w:val="006D00C2"/>
    <w:rsid w:val="006E3728"/>
    <w:rsid w:val="006F4D68"/>
    <w:rsid w:val="0071235F"/>
    <w:rsid w:val="00725453"/>
    <w:rsid w:val="0073437C"/>
    <w:rsid w:val="00745C9D"/>
    <w:rsid w:val="0077281A"/>
    <w:rsid w:val="00785236"/>
    <w:rsid w:val="007B1233"/>
    <w:rsid w:val="007B7A08"/>
    <w:rsid w:val="00807917"/>
    <w:rsid w:val="00807EB3"/>
    <w:rsid w:val="00814EA5"/>
    <w:rsid w:val="00841838"/>
    <w:rsid w:val="008477CE"/>
    <w:rsid w:val="00851F35"/>
    <w:rsid w:val="008637DB"/>
    <w:rsid w:val="00881619"/>
    <w:rsid w:val="008D02E8"/>
    <w:rsid w:val="008E7E6A"/>
    <w:rsid w:val="00904E3C"/>
    <w:rsid w:val="009151F0"/>
    <w:rsid w:val="00951B78"/>
    <w:rsid w:val="009707A7"/>
    <w:rsid w:val="00987797"/>
    <w:rsid w:val="009A3401"/>
    <w:rsid w:val="009C1411"/>
    <w:rsid w:val="009C3FF2"/>
    <w:rsid w:val="009C739E"/>
    <w:rsid w:val="009C7FF5"/>
    <w:rsid w:val="00A00BD4"/>
    <w:rsid w:val="00A54D02"/>
    <w:rsid w:val="00AB5C17"/>
    <w:rsid w:val="00AB6CE1"/>
    <w:rsid w:val="00B0396E"/>
    <w:rsid w:val="00B05F9A"/>
    <w:rsid w:val="00B0788B"/>
    <w:rsid w:val="00B1381F"/>
    <w:rsid w:val="00B606B2"/>
    <w:rsid w:val="00B66F82"/>
    <w:rsid w:val="00B676A2"/>
    <w:rsid w:val="00B67ADC"/>
    <w:rsid w:val="00B756CD"/>
    <w:rsid w:val="00B826F1"/>
    <w:rsid w:val="00B95EED"/>
    <w:rsid w:val="00BB05AC"/>
    <w:rsid w:val="00BF338E"/>
    <w:rsid w:val="00C06068"/>
    <w:rsid w:val="00C56A82"/>
    <w:rsid w:val="00C711EF"/>
    <w:rsid w:val="00C73EA2"/>
    <w:rsid w:val="00C74F42"/>
    <w:rsid w:val="00C95117"/>
    <w:rsid w:val="00D05D71"/>
    <w:rsid w:val="00D10003"/>
    <w:rsid w:val="00D115BD"/>
    <w:rsid w:val="00D2303B"/>
    <w:rsid w:val="00D52124"/>
    <w:rsid w:val="00D61A30"/>
    <w:rsid w:val="00D7047A"/>
    <w:rsid w:val="00DB594D"/>
    <w:rsid w:val="00DC18DD"/>
    <w:rsid w:val="00DE466D"/>
    <w:rsid w:val="00E71197"/>
    <w:rsid w:val="00E80F30"/>
    <w:rsid w:val="00EB3764"/>
    <w:rsid w:val="00EB43C4"/>
    <w:rsid w:val="00EE1FBF"/>
    <w:rsid w:val="00EE40E2"/>
    <w:rsid w:val="00F00D83"/>
    <w:rsid w:val="00F1397D"/>
    <w:rsid w:val="00F1539A"/>
    <w:rsid w:val="00F55578"/>
    <w:rsid w:val="00FD0E06"/>
    <w:rsid w:val="00FD63C8"/>
    <w:rsid w:val="00FE15E7"/>
    <w:rsid w:val="00FF483B"/>
    <w:rsid w:val="090A2D13"/>
    <w:rsid w:val="196B7A1A"/>
    <w:rsid w:val="2297034D"/>
    <w:rsid w:val="38946FDB"/>
    <w:rsid w:val="51AC26E0"/>
    <w:rsid w:val="52553923"/>
    <w:rsid w:val="718737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493C60"/>
  <w15:docId w15:val="{AFA9CD95-AC4F-4C79-B13A-C04C66C1A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235F"/>
    <w:pPr>
      <w:widowControl w:val="0"/>
      <w:spacing w:after="160" w:line="259" w:lineRule="auto"/>
    </w:pPr>
    <w:rPr>
      <w:rFonts w:ascii="Calibri" w:eastAsia="Calibri" w:hAnsi="Calibri" w:cs="Calibri"/>
      <w:sz w:val="22"/>
      <w:szCs w:val="22"/>
    </w:rPr>
  </w:style>
  <w:style w:type="paragraph" w:styleId="Heading1">
    <w:name w:val="heading 1"/>
    <w:basedOn w:val="Normal"/>
    <w:next w:val="Normal"/>
    <w:uiPriority w:val="9"/>
    <w:qFormat/>
    <w:pPr>
      <w:spacing w:before="240"/>
      <w:outlineLvl w:val="0"/>
    </w:pPr>
    <w:rPr>
      <w:rFonts w:ascii="Arial" w:eastAsia="Arial" w:hAnsi="Arial" w:cs="Arial"/>
      <w:b/>
      <w:u w:val="single"/>
    </w:rPr>
  </w:style>
  <w:style w:type="paragraph" w:styleId="Heading2">
    <w:name w:val="heading 2"/>
    <w:basedOn w:val="Normal"/>
    <w:next w:val="Normal"/>
    <w:uiPriority w:val="9"/>
    <w:semiHidden/>
    <w:unhideWhenUsed/>
    <w:qFormat/>
    <w:pPr>
      <w:spacing w:before="120"/>
      <w:outlineLvl w:val="1"/>
    </w:pPr>
    <w:rPr>
      <w:rFonts w:ascii="Arial" w:eastAsia="Arial" w:hAnsi="Arial" w:cs="Arial"/>
      <w:b/>
    </w:rPr>
  </w:style>
  <w:style w:type="paragraph" w:styleId="Heading3">
    <w:name w:val="heading 3"/>
    <w:basedOn w:val="Normal"/>
    <w:next w:val="Normal"/>
    <w:uiPriority w:val="9"/>
    <w:semiHidden/>
    <w:unhideWhenUsed/>
    <w:qFormat/>
    <w:pPr>
      <w:ind w:left="360"/>
      <w:outlineLvl w:val="2"/>
    </w:pPr>
    <w:rPr>
      <w:b/>
    </w:rPr>
  </w:style>
  <w:style w:type="paragraph" w:styleId="Heading4">
    <w:name w:val="heading 4"/>
    <w:basedOn w:val="Normal"/>
    <w:next w:val="Normal"/>
    <w:uiPriority w:val="9"/>
    <w:semiHidden/>
    <w:unhideWhenUsed/>
    <w:qFormat/>
    <w:pPr>
      <w:keepNext/>
      <w:keepLines/>
      <w:spacing w:before="240"/>
      <w:ind w:left="907" w:hanging="907"/>
      <w:outlineLvl w:val="3"/>
    </w:pPr>
    <w:rPr>
      <w:rFonts w:ascii="Arial" w:eastAsia="Arial" w:hAnsi="Arial" w:cs="Arial"/>
      <w:b/>
    </w:rPr>
  </w:style>
  <w:style w:type="paragraph" w:styleId="Heading5">
    <w:name w:val="heading 5"/>
    <w:basedOn w:val="Normal"/>
    <w:next w:val="Normal"/>
    <w:uiPriority w:val="9"/>
    <w:semiHidden/>
    <w:unhideWhenUsed/>
    <w:qFormat/>
    <w:pPr>
      <w:ind w:left="706"/>
      <w:outlineLvl w:val="4"/>
    </w:pPr>
    <w:rPr>
      <w:b/>
    </w:rPr>
  </w:style>
  <w:style w:type="paragraph" w:styleId="Heading6">
    <w:name w:val="heading 6"/>
    <w:basedOn w:val="Normal"/>
    <w:next w:val="Normal"/>
    <w:uiPriority w:val="9"/>
    <w:semiHidden/>
    <w:unhideWhenUsed/>
    <w:qFormat/>
    <w:pPr>
      <w:ind w:left="706"/>
      <w:outlineLvl w:val="5"/>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styleId="Emphasis">
    <w:name w:val="Emphasis"/>
    <w:uiPriority w:val="20"/>
    <w:qFormat/>
    <w:rPr>
      <w:i/>
      <w:i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uiPriority w:val="99"/>
    <w:unhideWhenUsed/>
    <w:rPr>
      <w:color w:val="0000FF"/>
      <w:u w:val="single"/>
    </w:rPr>
  </w:style>
  <w:style w:type="paragraph" w:styleId="NormalWeb">
    <w:name w:val="Normal (Web)"/>
    <w:basedOn w:val="Normal"/>
    <w:uiPriority w:val="99"/>
    <w:unhideWhenUsed/>
    <w:qFormat/>
    <w:pPr>
      <w:widowControl/>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Pr>
      <w:b/>
      <w:bC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MDPI13authornames">
    <w:name w:val="MDPI_1.3_authornames"/>
    <w:basedOn w:val="Normal"/>
    <w:next w:val="MDPI14history"/>
    <w:qFormat/>
    <w:pPr>
      <w:widowControl/>
      <w:adjustRightInd w:val="0"/>
      <w:snapToGrid w:val="0"/>
      <w:spacing w:after="120" w:line="260" w:lineRule="atLeast"/>
    </w:pPr>
    <w:rPr>
      <w:rFonts w:ascii="Palatino Linotype" w:eastAsia="Times New Roman" w:hAnsi="Palatino Linotype" w:cs="Times New Roman"/>
      <w:b/>
      <w:sz w:val="20"/>
      <w:lang w:eastAsia="de-DE" w:bidi="en-US"/>
    </w:rPr>
  </w:style>
  <w:style w:type="paragraph" w:customStyle="1" w:styleId="MDPI14history">
    <w:name w:val="MDPI_1.4_history"/>
    <w:basedOn w:val="Normal"/>
    <w:next w:val="Normal"/>
    <w:qFormat/>
    <w:pPr>
      <w:widowControl/>
      <w:adjustRightInd w:val="0"/>
      <w:snapToGrid w:val="0"/>
      <w:spacing w:before="120" w:after="0" w:line="200" w:lineRule="atLeast"/>
      <w:ind w:left="113"/>
    </w:pPr>
    <w:rPr>
      <w:rFonts w:ascii="Palatino Linotype" w:eastAsia="Times New Roman" w:hAnsi="Palatino Linotype" w:cs="Times New Roman"/>
      <w:sz w:val="18"/>
      <w:szCs w:val="20"/>
      <w:lang w:eastAsia="de-DE" w:bidi="en-US"/>
    </w:rPr>
  </w:style>
  <w:style w:type="paragraph" w:customStyle="1" w:styleId="MDPI16affiliation">
    <w:name w:val="MDPI_1.6_affiliation"/>
    <w:basedOn w:val="Normal"/>
    <w:qFormat/>
    <w:pPr>
      <w:widowControl/>
      <w:adjustRightInd w:val="0"/>
      <w:snapToGrid w:val="0"/>
      <w:spacing w:after="0" w:line="200" w:lineRule="atLeast"/>
      <w:ind w:left="311" w:hanging="198"/>
    </w:pPr>
    <w:rPr>
      <w:rFonts w:ascii="Palatino Linotype" w:eastAsia="Times New Roman" w:hAnsi="Palatino Linotype" w:cs="Times New Roman"/>
      <w:sz w:val="18"/>
      <w:szCs w:val="18"/>
      <w:lang w:eastAsia="de-DE" w:bidi="en-US"/>
    </w:rPr>
  </w:style>
  <w:style w:type="paragraph" w:customStyle="1" w:styleId="MDPI12title">
    <w:name w:val="MDPI_1.2_title"/>
    <w:next w:val="Normal"/>
    <w:qFormat/>
    <w:pPr>
      <w:adjustRightInd w:val="0"/>
      <w:snapToGrid w:val="0"/>
      <w:spacing w:after="240" w:line="400" w:lineRule="exact"/>
    </w:pPr>
    <w:rPr>
      <w:rFonts w:ascii="Palatino Linotype" w:eastAsia="Times New Roman" w:hAnsi="Palatino Linotype"/>
      <w:b/>
      <w:snapToGrid w:val="0"/>
      <w:sz w:val="36"/>
      <w:lang w:eastAsia="de-DE" w:bidi="en-US"/>
    </w:rPr>
  </w:style>
  <w:style w:type="character" w:customStyle="1" w:styleId="UnresolvedMention1">
    <w:name w:val="Unresolved Mention1"/>
    <w:basedOn w:val="DefaultParagraphFont"/>
    <w:uiPriority w:val="99"/>
    <w:qFormat/>
    <w:rPr>
      <w:color w:val="605E5C"/>
      <w:shd w:val="clear" w:color="auto" w:fill="E1DFDD"/>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pPr>
      <w:ind w:left="720"/>
      <w:contextualSpacing/>
    </w:pPr>
  </w:style>
  <w:style w:type="character" w:customStyle="1" w:styleId="CommentTextChar">
    <w:name w:val="Comment Text Char"/>
    <w:basedOn w:val="DefaultParagraphFont"/>
    <w:link w:val="CommentText"/>
    <w:uiPriority w:val="99"/>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tooltip">
    <w:name w:val="tooltip"/>
    <w:basedOn w:val="DefaultParagraphFont"/>
    <w:rsid w:val="004A6D61"/>
  </w:style>
  <w:style w:type="paragraph" w:styleId="Caption">
    <w:name w:val="caption"/>
    <w:basedOn w:val="Normal"/>
    <w:next w:val="Normal"/>
    <w:uiPriority w:val="35"/>
    <w:unhideWhenUsed/>
    <w:qFormat/>
    <w:rsid w:val="00EB3764"/>
    <w:pPr>
      <w:spacing w:after="200" w:line="240" w:lineRule="auto"/>
    </w:pPr>
    <w:rPr>
      <w:i/>
      <w:iCs/>
      <w:color w:val="1F497D" w:themeColor="text2"/>
      <w:sz w:val="18"/>
      <w:szCs w:val="18"/>
    </w:rPr>
  </w:style>
  <w:style w:type="character" w:customStyle="1" w:styleId="UnresolvedMention">
    <w:name w:val="Unresolved Mention"/>
    <w:basedOn w:val="DefaultParagraphFont"/>
    <w:uiPriority w:val="99"/>
    <w:semiHidden/>
    <w:unhideWhenUsed/>
    <w:rsid w:val="00EB37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59818">
      <w:bodyDiv w:val="1"/>
      <w:marLeft w:val="0"/>
      <w:marRight w:val="0"/>
      <w:marTop w:val="0"/>
      <w:marBottom w:val="0"/>
      <w:divBdr>
        <w:top w:val="none" w:sz="0" w:space="0" w:color="auto"/>
        <w:left w:val="none" w:sz="0" w:space="0" w:color="auto"/>
        <w:bottom w:val="none" w:sz="0" w:space="0" w:color="auto"/>
        <w:right w:val="none" w:sz="0" w:space="0" w:color="auto"/>
      </w:divBdr>
    </w:div>
    <w:div w:id="233709040">
      <w:bodyDiv w:val="1"/>
      <w:marLeft w:val="0"/>
      <w:marRight w:val="0"/>
      <w:marTop w:val="0"/>
      <w:marBottom w:val="0"/>
      <w:divBdr>
        <w:top w:val="none" w:sz="0" w:space="0" w:color="auto"/>
        <w:left w:val="none" w:sz="0" w:space="0" w:color="auto"/>
        <w:bottom w:val="none" w:sz="0" w:space="0" w:color="auto"/>
        <w:right w:val="none" w:sz="0" w:space="0" w:color="auto"/>
      </w:divBdr>
    </w:div>
    <w:div w:id="242304725">
      <w:bodyDiv w:val="1"/>
      <w:marLeft w:val="0"/>
      <w:marRight w:val="0"/>
      <w:marTop w:val="0"/>
      <w:marBottom w:val="0"/>
      <w:divBdr>
        <w:top w:val="none" w:sz="0" w:space="0" w:color="auto"/>
        <w:left w:val="none" w:sz="0" w:space="0" w:color="auto"/>
        <w:bottom w:val="none" w:sz="0" w:space="0" w:color="auto"/>
        <w:right w:val="none" w:sz="0" w:space="0" w:color="auto"/>
      </w:divBdr>
      <w:divsChild>
        <w:div w:id="1750610598">
          <w:marLeft w:val="0"/>
          <w:marRight w:val="0"/>
          <w:marTop w:val="0"/>
          <w:marBottom w:val="0"/>
          <w:divBdr>
            <w:top w:val="none" w:sz="0" w:space="0" w:color="auto"/>
            <w:left w:val="none" w:sz="0" w:space="0" w:color="auto"/>
            <w:bottom w:val="none" w:sz="0" w:space="0" w:color="auto"/>
            <w:right w:val="none" w:sz="0" w:space="0" w:color="auto"/>
          </w:divBdr>
          <w:divsChild>
            <w:div w:id="1082213880">
              <w:marLeft w:val="0"/>
              <w:marRight w:val="0"/>
              <w:marTop w:val="0"/>
              <w:marBottom w:val="0"/>
              <w:divBdr>
                <w:top w:val="none" w:sz="0" w:space="0" w:color="auto"/>
                <w:left w:val="none" w:sz="0" w:space="0" w:color="auto"/>
                <w:bottom w:val="none" w:sz="0" w:space="0" w:color="auto"/>
                <w:right w:val="none" w:sz="0" w:space="0" w:color="auto"/>
              </w:divBdr>
              <w:divsChild>
                <w:div w:id="72699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092516">
      <w:bodyDiv w:val="1"/>
      <w:marLeft w:val="0"/>
      <w:marRight w:val="0"/>
      <w:marTop w:val="0"/>
      <w:marBottom w:val="0"/>
      <w:divBdr>
        <w:top w:val="none" w:sz="0" w:space="0" w:color="auto"/>
        <w:left w:val="none" w:sz="0" w:space="0" w:color="auto"/>
        <w:bottom w:val="none" w:sz="0" w:space="0" w:color="auto"/>
        <w:right w:val="none" w:sz="0" w:space="0" w:color="auto"/>
      </w:divBdr>
    </w:div>
    <w:div w:id="423771949">
      <w:bodyDiv w:val="1"/>
      <w:marLeft w:val="0"/>
      <w:marRight w:val="0"/>
      <w:marTop w:val="0"/>
      <w:marBottom w:val="0"/>
      <w:divBdr>
        <w:top w:val="none" w:sz="0" w:space="0" w:color="auto"/>
        <w:left w:val="none" w:sz="0" w:space="0" w:color="auto"/>
        <w:bottom w:val="none" w:sz="0" w:space="0" w:color="auto"/>
        <w:right w:val="none" w:sz="0" w:space="0" w:color="auto"/>
      </w:divBdr>
      <w:divsChild>
        <w:div w:id="463088247">
          <w:marLeft w:val="113"/>
          <w:marRight w:val="0"/>
          <w:marTop w:val="0"/>
          <w:marBottom w:val="0"/>
          <w:divBdr>
            <w:top w:val="none" w:sz="0" w:space="0" w:color="auto"/>
            <w:left w:val="none" w:sz="0" w:space="0" w:color="auto"/>
            <w:bottom w:val="none" w:sz="0" w:space="0" w:color="auto"/>
            <w:right w:val="none" w:sz="0" w:space="0" w:color="auto"/>
          </w:divBdr>
        </w:div>
      </w:divsChild>
    </w:div>
    <w:div w:id="643437220">
      <w:bodyDiv w:val="1"/>
      <w:marLeft w:val="0"/>
      <w:marRight w:val="0"/>
      <w:marTop w:val="0"/>
      <w:marBottom w:val="0"/>
      <w:divBdr>
        <w:top w:val="none" w:sz="0" w:space="0" w:color="auto"/>
        <w:left w:val="none" w:sz="0" w:space="0" w:color="auto"/>
        <w:bottom w:val="none" w:sz="0" w:space="0" w:color="auto"/>
        <w:right w:val="none" w:sz="0" w:space="0" w:color="auto"/>
      </w:divBdr>
      <w:divsChild>
        <w:div w:id="840774577">
          <w:marLeft w:val="0"/>
          <w:marRight w:val="0"/>
          <w:marTop w:val="0"/>
          <w:marBottom w:val="0"/>
          <w:divBdr>
            <w:top w:val="none" w:sz="0" w:space="0" w:color="auto"/>
            <w:left w:val="none" w:sz="0" w:space="0" w:color="auto"/>
            <w:bottom w:val="none" w:sz="0" w:space="0" w:color="auto"/>
            <w:right w:val="none" w:sz="0" w:space="0" w:color="auto"/>
          </w:divBdr>
          <w:divsChild>
            <w:div w:id="1121533664">
              <w:marLeft w:val="0"/>
              <w:marRight w:val="0"/>
              <w:marTop w:val="0"/>
              <w:marBottom w:val="0"/>
              <w:divBdr>
                <w:top w:val="none" w:sz="0" w:space="0" w:color="auto"/>
                <w:left w:val="none" w:sz="0" w:space="0" w:color="auto"/>
                <w:bottom w:val="none" w:sz="0" w:space="0" w:color="auto"/>
                <w:right w:val="none" w:sz="0" w:space="0" w:color="auto"/>
              </w:divBdr>
              <w:divsChild>
                <w:div w:id="193543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276217">
      <w:bodyDiv w:val="1"/>
      <w:marLeft w:val="0"/>
      <w:marRight w:val="0"/>
      <w:marTop w:val="0"/>
      <w:marBottom w:val="0"/>
      <w:divBdr>
        <w:top w:val="none" w:sz="0" w:space="0" w:color="auto"/>
        <w:left w:val="none" w:sz="0" w:space="0" w:color="auto"/>
        <w:bottom w:val="none" w:sz="0" w:space="0" w:color="auto"/>
        <w:right w:val="none" w:sz="0" w:space="0" w:color="auto"/>
      </w:divBdr>
      <w:divsChild>
        <w:div w:id="124738631">
          <w:marLeft w:val="0"/>
          <w:marRight w:val="0"/>
          <w:marTop w:val="0"/>
          <w:marBottom w:val="0"/>
          <w:divBdr>
            <w:top w:val="none" w:sz="0" w:space="0" w:color="auto"/>
            <w:left w:val="none" w:sz="0" w:space="0" w:color="auto"/>
            <w:bottom w:val="none" w:sz="0" w:space="0" w:color="auto"/>
            <w:right w:val="none" w:sz="0" w:space="0" w:color="auto"/>
          </w:divBdr>
          <w:divsChild>
            <w:div w:id="224032967">
              <w:marLeft w:val="0"/>
              <w:marRight w:val="0"/>
              <w:marTop w:val="0"/>
              <w:marBottom w:val="0"/>
              <w:divBdr>
                <w:top w:val="none" w:sz="0" w:space="0" w:color="auto"/>
                <w:left w:val="none" w:sz="0" w:space="0" w:color="auto"/>
                <w:bottom w:val="none" w:sz="0" w:space="0" w:color="auto"/>
                <w:right w:val="none" w:sz="0" w:space="0" w:color="auto"/>
              </w:divBdr>
              <w:divsChild>
                <w:div w:id="75397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311157">
      <w:bodyDiv w:val="1"/>
      <w:marLeft w:val="0"/>
      <w:marRight w:val="0"/>
      <w:marTop w:val="0"/>
      <w:marBottom w:val="0"/>
      <w:divBdr>
        <w:top w:val="none" w:sz="0" w:space="0" w:color="auto"/>
        <w:left w:val="none" w:sz="0" w:space="0" w:color="auto"/>
        <w:bottom w:val="none" w:sz="0" w:space="0" w:color="auto"/>
        <w:right w:val="none" w:sz="0" w:space="0" w:color="auto"/>
      </w:divBdr>
      <w:divsChild>
        <w:div w:id="2098363339">
          <w:marLeft w:val="0"/>
          <w:marRight w:val="0"/>
          <w:marTop w:val="0"/>
          <w:marBottom w:val="0"/>
          <w:divBdr>
            <w:top w:val="none" w:sz="0" w:space="0" w:color="auto"/>
            <w:left w:val="none" w:sz="0" w:space="0" w:color="auto"/>
            <w:bottom w:val="none" w:sz="0" w:space="0" w:color="auto"/>
            <w:right w:val="none" w:sz="0" w:space="0" w:color="auto"/>
          </w:divBdr>
          <w:divsChild>
            <w:div w:id="1188640268">
              <w:marLeft w:val="0"/>
              <w:marRight w:val="0"/>
              <w:marTop w:val="0"/>
              <w:marBottom w:val="0"/>
              <w:divBdr>
                <w:top w:val="none" w:sz="0" w:space="0" w:color="auto"/>
                <w:left w:val="none" w:sz="0" w:space="0" w:color="auto"/>
                <w:bottom w:val="none" w:sz="0" w:space="0" w:color="auto"/>
                <w:right w:val="none" w:sz="0" w:space="0" w:color="auto"/>
              </w:divBdr>
              <w:divsChild>
                <w:div w:id="1251046110">
                  <w:marLeft w:val="0"/>
                  <w:marRight w:val="0"/>
                  <w:marTop w:val="0"/>
                  <w:marBottom w:val="0"/>
                  <w:divBdr>
                    <w:top w:val="none" w:sz="0" w:space="0" w:color="auto"/>
                    <w:left w:val="none" w:sz="0" w:space="0" w:color="auto"/>
                    <w:bottom w:val="none" w:sz="0" w:space="0" w:color="auto"/>
                    <w:right w:val="none" w:sz="0" w:space="0" w:color="auto"/>
                  </w:divBdr>
                  <w:divsChild>
                    <w:div w:id="93331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5597263">
      <w:bodyDiv w:val="1"/>
      <w:marLeft w:val="0"/>
      <w:marRight w:val="0"/>
      <w:marTop w:val="0"/>
      <w:marBottom w:val="0"/>
      <w:divBdr>
        <w:top w:val="none" w:sz="0" w:space="0" w:color="auto"/>
        <w:left w:val="none" w:sz="0" w:space="0" w:color="auto"/>
        <w:bottom w:val="none" w:sz="0" w:space="0" w:color="auto"/>
        <w:right w:val="none" w:sz="0" w:space="0" w:color="auto"/>
      </w:divBdr>
    </w:div>
    <w:div w:id="1437868240">
      <w:bodyDiv w:val="1"/>
      <w:marLeft w:val="0"/>
      <w:marRight w:val="0"/>
      <w:marTop w:val="0"/>
      <w:marBottom w:val="0"/>
      <w:divBdr>
        <w:top w:val="none" w:sz="0" w:space="0" w:color="auto"/>
        <w:left w:val="none" w:sz="0" w:space="0" w:color="auto"/>
        <w:bottom w:val="none" w:sz="0" w:space="0" w:color="auto"/>
        <w:right w:val="none" w:sz="0" w:space="0" w:color="auto"/>
      </w:divBdr>
      <w:divsChild>
        <w:div w:id="1745370695">
          <w:marLeft w:val="0"/>
          <w:marRight w:val="0"/>
          <w:marTop w:val="0"/>
          <w:marBottom w:val="0"/>
          <w:divBdr>
            <w:top w:val="none" w:sz="0" w:space="0" w:color="auto"/>
            <w:left w:val="none" w:sz="0" w:space="0" w:color="auto"/>
            <w:bottom w:val="none" w:sz="0" w:space="0" w:color="auto"/>
            <w:right w:val="none" w:sz="0" w:space="0" w:color="auto"/>
          </w:divBdr>
          <w:divsChild>
            <w:div w:id="139928748">
              <w:marLeft w:val="0"/>
              <w:marRight w:val="0"/>
              <w:marTop w:val="0"/>
              <w:marBottom w:val="0"/>
              <w:divBdr>
                <w:top w:val="none" w:sz="0" w:space="0" w:color="auto"/>
                <w:left w:val="none" w:sz="0" w:space="0" w:color="auto"/>
                <w:bottom w:val="none" w:sz="0" w:space="0" w:color="auto"/>
                <w:right w:val="none" w:sz="0" w:space="0" w:color="auto"/>
              </w:divBdr>
              <w:divsChild>
                <w:div w:id="233978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984294">
      <w:bodyDiv w:val="1"/>
      <w:marLeft w:val="0"/>
      <w:marRight w:val="0"/>
      <w:marTop w:val="0"/>
      <w:marBottom w:val="0"/>
      <w:divBdr>
        <w:top w:val="none" w:sz="0" w:space="0" w:color="auto"/>
        <w:left w:val="none" w:sz="0" w:space="0" w:color="auto"/>
        <w:bottom w:val="none" w:sz="0" w:space="0" w:color="auto"/>
        <w:right w:val="none" w:sz="0" w:space="0" w:color="auto"/>
      </w:divBdr>
      <w:divsChild>
        <w:div w:id="733040027">
          <w:marLeft w:val="0"/>
          <w:marRight w:val="0"/>
          <w:marTop w:val="0"/>
          <w:marBottom w:val="0"/>
          <w:divBdr>
            <w:top w:val="none" w:sz="0" w:space="0" w:color="auto"/>
            <w:left w:val="none" w:sz="0" w:space="0" w:color="auto"/>
            <w:bottom w:val="none" w:sz="0" w:space="0" w:color="auto"/>
            <w:right w:val="none" w:sz="0" w:space="0" w:color="auto"/>
          </w:divBdr>
          <w:divsChild>
            <w:div w:id="54088714">
              <w:marLeft w:val="0"/>
              <w:marRight w:val="0"/>
              <w:marTop w:val="0"/>
              <w:marBottom w:val="0"/>
              <w:divBdr>
                <w:top w:val="none" w:sz="0" w:space="0" w:color="auto"/>
                <w:left w:val="none" w:sz="0" w:space="0" w:color="auto"/>
                <w:bottom w:val="none" w:sz="0" w:space="0" w:color="auto"/>
                <w:right w:val="none" w:sz="0" w:space="0" w:color="auto"/>
              </w:divBdr>
              <w:divsChild>
                <w:div w:id="41709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109554">
      <w:bodyDiv w:val="1"/>
      <w:marLeft w:val="0"/>
      <w:marRight w:val="0"/>
      <w:marTop w:val="0"/>
      <w:marBottom w:val="0"/>
      <w:divBdr>
        <w:top w:val="none" w:sz="0" w:space="0" w:color="auto"/>
        <w:left w:val="none" w:sz="0" w:space="0" w:color="auto"/>
        <w:bottom w:val="none" w:sz="0" w:space="0" w:color="auto"/>
        <w:right w:val="none" w:sz="0" w:space="0" w:color="auto"/>
      </w:divBdr>
    </w:div>
    <w:div w:id="1858739090">
      <w:bodyDiv w:val="1"/>
      <w:marLeft w:val="0"/>
      <w:marRight w:val="0"/>
      <w:marTop w:val="0"/>
      <w:marBottom w:val="0"/>
      <w:divBdr>
        <w:top w:val="none" w:sz="0" w:space="0" w:color="auto"/>
        <w:left w:val="none" w:sz="0" w:space="0" w:color="auto"/>
        <w:bottom w:val="none" w:sz="0" w:space="0" w:color="auto"/>
        <w:right w:val="none" w:sz="0" w:space="0" w:color="auto"/>
      </w:divBdr>
      <w:divsChild>
        <w:div w:id="1078750535">
          <w:marLeft w:val="0"/>
          <w:marRight w:val="0"/>
          <w:marTop w:val="0"/>
          <w:marBottom w:val="0"/>
          <w:divBdr>
            <w:top w:val="none" w:sz="0" w:space="0" w:color="auto"/>
            <w:left w:val="none" w:sz="0" w:space="0" w:color="auto"/>
            <w:bottom w:val="none" w:sz="0" w:space="0" w:color="auto"/>
            <w:right w:val="none" w:sz="0" w:space="0" w:color="auto"/>
          </w:divBdr>
          <w:divsChild>
            <w:div w:id="406727281">
              <w:marLeft w:val="0"/>
              <w:marRight w:val="0"/>
              <w:marTop w:val="0"/>
              <w:marBottom w:val="0"/>
              <w:divBdr>
                <w:top w:val="none" w:sz="0" w:space="0" w:color="auto"/>
                <w:left w:val="none" w:sz="0" w:space="0" w:color="auto"/>
                <w:bottom w:val="none" w:sz="0" w:space="0" w:color="auto"/>
                <w:right w:val="none" w:sz="0" w:space="0" w:color="auto"/>
              </w:divBdr>
              <w:divsChild>
                <w:div w:id="32501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encoding w:val="utf-8"/>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satyaapriliansyah13@gmail.com"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hyperlink" Target="https://creativecommons.org/licenses/by/4.0/" TargetMode="External"/></Relationships>
</file>

<file path=word/_rels/header3.xml.rels><?xml version="1.0" encoding="UTF-8" standalone="yes"?>
<Relationships xmlns="http://schemas.openxmlformats.org/package/2006/relationships"><Relationship Id="rId2" Type="http://schemas.openxmlformats.org/officeDocument/2006/relationships/hyperlink" Target="https://agrocomplex.professorline.com/index.php/journal/index"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IAy54AJgwufxw3UPlth5AQOcDYg==">AMUW2mUAbalm51Pvd245+XIAfTKxhgOSzLCKz81EkuCJbxjsVoR/oHggZlMNxJ3DYh019JDrKwI1Iq0o48vuYN9h0AKD2XBRXW4VQbmy6UO78TCUqusqxpmQvrubDkyBYYmR6f1NJsar</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2D8851B-C291-4AFA-82E4-3CE365593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271</TotalTime>
  <Pages>11</Pages>
  <Words>5606</Words>
  <Characters>31959</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USER</cp:lastModifiedBy>
  <cp:revision>51</cp:revision>
  <dcterms:created xsi:type="dcterms:W3CDTF">2023-07-12T16:16:00Z</dcterms:created>
  <dcterms:modified xsi:type="dcterms:W3CDTF">2026-10-27T04:46:00Z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http://www.zotero.org/styles/ieee</vt:lpwstr>
  </property>
  <property fmtid="{D5CDD505-2E9C-101B-9397-08002B2CF9AE}" pid="4" name="Mendeley Unique User Id_1">
    <vt:lpwstr>c3eb67ee-b420-3afb-968e-28adeb54c34b</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Harvard - Cite Them Right 9th edition</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http://www.zotero.org/styles/iop-conference-series-materials-science-and-engineering</vt:lpwstr>
  </property>
  <property fmtid="{D5CDD505-2E9C-101B-9397-08002B2CF9AE}" pid="20" name="Mendeley Recent Style Name 7_1">
    <vt:lpwstr>IOP Conference Series: Materials Science and Engineering</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8th edition</vt:lpwstr>
  </property>
  <property fmtid="{D5CDD505-2E9C-101B-9397-08002B2CF9AE}" pid="25" name="KSOProductBuildVer">
    <vt:lpwstr>1033-11.2.0.11440</vt:lpwstr>
  </property>
  <property fmtid="{D5CDD505-2E9C-101B-9397-08002B2CF9AE}" pid="26" name="ICV">
    <vt:lpwstr>336D356A499A45E29F0779664098D001</vt:lpwstr>
  </property>
</Properties>
</file>